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6990" w14:textId="09EE99F4" w:rsidR="00FF5058" w:rsidRPr="0028761E" w:rsidRDefault="00FF5058" w:rsidP="00337A58">
      <w:pPr>
        <w:jc w:val="both"/>
        <w:rPr>
          <w:rFonts w:cs="Arial"/>
          <w:sz w:val="24"/>
          <w:szCs w:val="24"/>
        </w:rPr>
      </w:pPr>
    </w:p>
    <w:p w14:paraId="0A37501D" w14:textId="77777777" w:rsidR="0032126C" w:rsidRPr="0028761E" w:rsidRDefault="0032126C" w:rsidP="00337A58">
      <w:pPr>
        <w:jc w:val="both"/>
        <w:rPr>
          <w:rFonts w:cs="Arial"/>
          <w:sz w:val="24"/>
          <w:szCs w:val="24"/>
        </w:rPr>
      </w:pPr>
    </w:p>
    <w:p w14:paraId="5DAB6C7B" w14:textId="77777777" w:rsidR="00285A39" w:rsidRDefault="00285A39" w:rsidP="00337A58">
      <w:pPr>
        <w:jc w:val="both"/>
        <w:rPr>
          <w:rFonts w:cs="Arial"/>
          <w:sz w:val="24"/>
          <w:szCs w:val="24"/>
        </w:rPr>
      </w:pPr>
    </w:p>
    <w:p w14:paraId="02EB378F" w14:textId="77777777" w:rsidR="00183435" w:rsidRDefault="00183435" w:rsidP="0032126C">
      <w:pPr>
        <w:rPr>
          <w:sz w:val="24"/>
          <w:szCs w:val="24"/>
        </w:rPr>
      </w:pPr>
    </w:p>
    <w:p w14:paraId="6A05A809" w14:textId="77777777" w:rsidR="00041451" w:rsidRDefault="00041451" w:rsidP="0032126C">
      <w:pPr>
        <w:rPr>
          <w:sz w:val="24"/>
          <w:szCs w:val="24"/>
        </w:rPr>
      </w:pPr>
    </w:p>
    <w:p w14:paraId="2690043D" w14:textId="2683FF0D" w:rsidR="002436BF" w:rsidRPr="002436BF" w:rsidRDefault="002436BF" w:rsidP="002436BF">
      <w:pPr>
        <w:spacing w:line="257" w:lineRule="auto"/>
        <w:jc w:val="center"/>
        <w:rPr>
          <w:rFonts w:ascii="Open Sans" w:eastAsia="Calibri" w:hAnsi="Open Sans" w:cs="Open Sans"/>
          <w:b/>
          <w:bCs/>
          <w:u w:val="single"/>
        </w:rPr>
      </w:pPr>
      <w:r w:rsidRPr="002436BF">
        <w:rPr>
          <w:rFonts w:ascii="Open Sans" w:eastAsia="Calibri" w:hAnsi="Open Sans" w:cs="Open Sans"/>
          <w:b/>
          <w:bCs/>
          <w:u w:val="single"/>
        </w:rPr>
        <w:t>Protect’s Economic Crime (Transparency and Enforcement) Bill 2022 Briefing</w:t>
      </w:r>
      <w:r w:rsidR="00FD1BB9">
        <w:rPr>
          <w:rFonts w:ascii="Open Sans" w:eastAsia="Calibri" w:hAnsi="Open Sans" w:cs="Open Sans"/>
          <w:b/>
          <w:bCs/>
          <w:u w:val="single"/>
        </w:rPr>
        <w:t xml:space="preserve"> on Amendments </w:t>
      </w:r>
    </w:p>
    <w:p w14:paraId="1CC2B51C" w14:textId="77777777" w:rsidR="002436BF" w:rsidRPr="002436BF" w:rsidRDefault="002436BF" w:rsidP="002436BF">
      <w:pPr>
        <w:spacing w:line="257" w:lineRule="auto"/>
        <w:jc w:val="center"/>
        <w:rPr>
          <w:rFonts w:ascii="Open Sans" w:eastAsia="Calibri" w:hAnsi="Open Sans" w:cs="Open Sans"/>
          <w:b/>
          <w:bCs/>
        </w:rPr>
      </w:pPr>
    </w:p>
    <w:p w14:paraId="4A8CF376" w14:textId="51EEB3BA" w:rsidR="00030B6B" w:rsidRPr="00030B6B" w:rsidRDefault="00030B6B" w:rsidP="00030B6B">
      <w:pPr>
        <w:rPr>
          <w:rFonts w:ascii="Open Sans" w:hAnsi="Open Sans" w:cs="Open Sans"/>
        </w:rPr>
      </w:pPr>
      <w:r w:rsidRPr="00030B6B">
        <w:rPr>
          <w:rFonts w:ascii="Open Sans" w:hAnsi="Open Sans" w:cs="Open Sans"/>
        </w:rPr>
        <w:t>This briefing concerns the following amendments</w:t>
      </w:r>
      <w:r w:rsidR="00CE42D2">
        <w:rPr>
          <w:rFonts w:ascii="Open Sans" w:hAnsi="Open Sans" w:cs="Open Sans"/>
        </w:rPr>
        <w:t xml:space="preserve"> to the Economic Crime (Transparency and Enforcement) Bill</w:t>
      </w:r>
      <w:r w:rsidR="007C27B6">
        <w:rPr>
          <w:rFonts w:ascii="Open Sans" w:hAnsi="Open Sans" w:cs="Open Sans"/>
        </w:rPr>
        <w:t xml:space="preserve"> (the ‘Bill’)</w:t>
      </w:r>
      <w:r w:rsidRPr="00030B6B">
        <w:rPr>
          <w:rFonts w:ascii="Open Sans" w:hAnsi="Open Sans" w:cs="Open Sans"/>
        </w:rPr>
        <w:t xml:space="preserve">: </w:t>
      </w:r>
    </w:p>
    <w:p w14:paraId="1C64D9E6" w14:textId="77777777" w:rsidR="00030B6B" w:rsidRDefault="00030B6B" w:rsidP="00030B6B">
      <w:pPr>
        <w:pStyle w:val="ListParagraph"/>
        <w:numPr>
          <w:ilvl w:val="1"/>
          <w:numId w:val="27"/>
        </w:numPr>
        <w:rPr>
          <w:rFonts w:ascii="Open Sans" w:hAnsi="Open Sans" w:cs="Open Sans"/>
        </w:rPr>
      </w:pPr>
      <w:r>
        <w:rPr>
          <w:rFonts w:ascii="Open Sans" w:hAnsi="Open Sans" w:cs="Open Sans"/>
          <w:b/>
          <w:bCs/>
        </w:rPr>
        <w:t>Amendment NC14</w:t>
      </w:r>
    </w:p>
    <w:p w14:paraId="640812D6" w14:textId="77777777" w:rsidR="00030B6B" w:rsidRDefault="00030B6B" w:rsidP="00030B6B">
      <w:pPr>
        <w:pStyle w:val="ListParagraph"/>
        <w:ind w:left="1800"/>
        <w:rPr>
          <w:rFonts w:ascii="Open Sans" w:hAnsi="Open Sans" w:cs="Open Sans"/>
        </w:rPr>
      </w:pPr>
      <w:r>
        <w:rPr>
          <w:rFonts w:ascii="Open Sans" w:hAnsi="Open Sans" w:cs="Open Sans"/>
        </w:rPr>
        <w:t xml:space="preserve">To move the following Clause – </w:t>
      </w:r>
    </w:p>
    <w:p w14:paraId="24C7841F" w14:textId="77777777" w:rsidR="00030B6B" w:rsidRDefault="00030B6B" w:rsidP="00030B6B">
      <w:pPr>
        <w:pStyle w:val="ListParagraph"/>
        <w:ind w:left="1800"/>
        <w:rPr>
          <w:rFonts w:ascii="Open Sans" w:hAnsi="Open Sans" w:cs="Open Sans"/>
        </w:rPr>
      </w:pPr>
      <w:r>
        <w:rPr>
          <w:rFonts w:ascii="Open Sans" w:hAnsi="Open Sans" w:cs="Open Sans"/>
        </w:rPr>
        <w:t>“</w:t>
      </w:r>
      <w:r>
        <w:rPr>
          <w:rFonts w:ascii="Open Sans" w:hAnsi="Open Sans" w:cs="Open Sans"/>
          <w:b/>
          <w:bCs/>
        </w:rPr>
        <w:t xml:space="preserve">Commission for the Protection of Whistleblowers </w:t>
      </w:r>
    </w:p>
    <w:p w14:paraId="15244DB7" w14:textId="77777777" w:rsidR="00030B6B" w:rsidRDefault="00030B6B" w:rsidP="00030B6B">
      <w:pPr>
        <w:pStyle w:val="ListParagraph"/>
        <w:ind w:left="1800"/>
        <w:rPr>
          <w:rFonts w:ascii="Open Sans" w:hAnsi="Open Sans" w:cs="Open Sans"/>
        </w:rPr>
      </w:pPr>
      <w:r>
        <w:rPr>
          <w:rFonts w:ascii="Open Sans" w:hAnsi="Open Sans" w:cs="Open Sans"/>
        </w:rPr>
        <w:t>The Secretary of State shall establish a Commission for the Protection of Whistleblowers for the purpose of enhancing the transparency and enforcement of economic crime covered by this Act.”</w:t>
      </w:r>
    </w:p>
    <w:p w14:paraId="2CC61EA7" w14:textId="77777777" w:rsidR="00030B6B" w:rsidRDefault="00030B6B" w:rsidP="00030B6B">
      <w:pPr>
        <w:pStyle w:val="ListParagraph"/>
        <w:numPr>
          <w:ilvl w:val="1"/>
          <w:numId w:val="27"/>
        </w:numPr>
        <w:rPr>
          <w:rFonts w:ascii="Open Sans" w:hAnsi="Open Sans" w:cs="Open Sans"/>
        </w:rPr>
      </w:pPr>
      <w:r>
        <w:rPr>
          <w:rFonts w:ascii="Open Sans" w:hAnsi="Open Sans" w:cs="Open Sans"/>
          <w:b/>
          <w:bCs/>
        </w:rPr>
        <w:t xml:space="preserve">Amendment NC27 </w:t>
      </w:r>
    </w:p>
    <w:p w14:paraId="4792B6D9" w14:textId="77777777" w:rsidR="00030B6B" w:rsidRDefault="00030B6B" w:rsidP="00030B6B">
      <w:pPr>
        <w:pStyle w:val="ListParagraph"/>
        <w:ind w:left="1800"/>
        <w:rPr>
          <w:rFonts w:ascii="Open Sans" w:hAnsi="Open Sans" w:cs="Open Sans"/>
        </w:rPr>
      </w:pPr>
      <w:r>
        <w:rPr>
          <w:rFonts w:ascii="Open Sans" w:hAnsi="Open Sans" w:cs="Open Sans"/>
        </w:rPr>
        <w:t xml:space="preserve">To move the following Clause – </w:t>
      </w:r>
    </w:p>
    <w:p w14:paraId="627D75ED" w14:textId="77777777" w:rsidR="00030B6B" w:rsidRDefault="00030B6B" w:rsidP="00030B6B">
      <w:pPr>
        <w:pStyle w:val="ListParagraph"/>
        <w:ind w:left="1800"/>
        <w:rPr>
          <w:rFonts w:ascii="Open Sans" w:hAnsi="Open Sans" w:cs="Open Sans"/>
        </w:rPr>
      </w:pPr>
      <w:r>
        <w:rPr>
          <w:rFonts w:ascii="Open Sans" w:hAnsi="Open Sans" w:cs="Open Sans"/>
        </w:rPr>
        <w:t>“</w:t>
      </w:r>
      <w:r>
        <w:rPr>
          <w:rFonts w:ascii="Open Sans" w:hAnsi="Open Sans" w:cs="Open Sans"/>
          <w:b/>
          <w:bCs/>
        </w:rPr>
        <w:t>Commission for the Protection of Whistleblowers (No.2)</w:t>
      </w:r>
    </w:p>
    <w:p w14:paraId="0221EFCD" w14:textId="77777777" w:rsidR="00030B6B" w:rsidRDefault="00030B6B" w:rsidP="00030B6B">
      <w:pPr>
        <w:pStyle w:val="ListParagraph"/>
        <w:numPr>
          <w:ilvl w:val="0"/>
          <w:numId w:val="31"/>
        </w:numPr>
        <w:rPr>
          <w:rFonts w:ascii="Open Sans" w:hAnsi="Open Sans" w:cs="Open Sans"/>
        </w:rPr>
      </w:pPr>
      <w:r>
        <w:rPr>
          <w:rFonts w:ascii="Open Sans" w:hAnsi="Open Sans" w:cs="Open Sans"/>
        </w:rPr>
        <w:t xml:space="preserve">The Secretary of State shall establish a Commission for the Protection of Whistleblowers for the purposes of promoting transparency in relation to breaches of the provisions of this Act. </w:t>
      </w:r>
    </w:p>
    <w:p w14:paraId="53322FAE" w14:textId="2FD9B91E" w:rsidR="002436BF" w:rsidRPr="0058295A" w:rsidRDefault="00030B6B" w:rsidP="002436BF">
      <w:pPr>
        <w:pStyle w:val="ListParagraph"/>
        <w:numPr>
          <w:ilvl w:val="0"/>
          <w:numId w:val="31"/>
        </w:numPr>
        <w:rPr>
          <w:rFonts w:ascii="Open Sans" w:hAnsi="Open Sans" w:cs="Open Sans"/>
        </w:rPr>
      </w:pPr>
      <w:r>
        <w:rPr>
          <w:rFonts w:ascii="Open Sans" w:hAnsi="Open Sans" w:cs="Open Sans"/>
        </w:rPr>
        <w:t>The Commission for the Protection of Whistleblowers must work with the relevant authorities to ensure that any concerns raised by whistleblowers in relation to breaches of the provisions of this Act are dealt with responsibly and effectively by the relevant authorities.”</w:t>
      </w:r>
    </w:p>
    <w:p w14:paraId="468F77AE" w14:textId="77777777" w:rsidR="002436BF" w:rsidRPr="002436BF" w:rsidRDefault="002436BF" w:rsidP="00CD60DF">
      <w:pPr>
        <w:rPr>
          <w:rFonts w:ascii="Open Sans" w:hAnsi="Open Sans" w:cs="Open Sans"/>
          <w:b/>
          <w:bCs/>
        </w:rPr>
      </w:pPr>
      <w:r w:rsidRPr="002436BF">
        <w:rPr>
          <w:rFonts w:ascii="Open Sans" w:hAnsi="Open Sans" w:cs="Open Sans"/>
          <w:b/>
          <w:bCs/>
        </w:rPr>
        <w:t xml:space="preserve">Who is </w:t>
      </w:r>
      <w:proofErr w:type="gramStart"/>
      <w:r w:rsidRPr="002436BF">
        <w:rPr>
          <w:rFonts w:ascii="Open Sans" w:hAnsi="Open Sans" w:cs="Open Sans"/>
          <w:b/>
          <w:bCs/>
        </w:rPr>
        <w:t>Protect</w:t>
      </w:r>
      <w:proofErr w:type="gramEnd"/>
    </w:p>
    <w:p w14:paraId="338CD0E6" w14:textId="783DE9B2" w:rsidR="00C2576B" w:rsidRDefault="002436BF" w:rsidP="00030B6B">
      <w:pPr>
        <w:rPr>
          <w:rStyle w:val="Hyperlink"/>
          <w:rFonts w:ascii="Open Sans" w:eastAsia="Calibri" w:hAnsi="Open Sans" w:cs="Open Sans"/>
        </w:rPr>
      </w:pPr>
      <w:r w:rsidRPr="002436BF">
        <w:rPr>
          <w:rFonts w:ascii="Open Sans" w:eastAsia="Calibri" w:hAnsi="Open Sans" w:cs="Open Sans"/>
          <w:color w:val="000000" w:themeColor="text1"/>
          <w:szCs w:val="22"/>
        </w:rPr>
        <w:t xml:space="preserve">Protect is a UK based whistleblowing NGO that since 1993 provides confidential legal advice to whistleblowers, we advise around 3000 cases a year from all different sectors and industries. We have been part of a group of lawyers, journalists and NGOs who successfully campaigned for the release of anti-corruption </w:t>
      </w:r>
      <w:hyperlink r:id="rId10">
        <w:proofErr w:type="spellStart"/>
        <w:r w:rsidRPr="002436BF">
          <w:rPr>
            <w:rStyle w:val="Hyperlink"/>
            <w:rFonts w:ascii="Open Sans" w:eastAsia="Calibri" w:hAnsi="Open Sans" w:cs="Open Sans"/>
          </w:rPr>
          <w:t>whistleblower</w:t>
        </w:r>
        <w:proofErr w:type="spellEnd"/>
        <w:r w:rsidRPr="002436BF">
          <w:rPr>
            <w:rStyle w:val="Hyperlink"/>
            <w:rFonts w:ascii="Open Sans" w:eastAsia="Calibri" w:hAnsi="Open Sans" w:cs="Open Sans"/>
          </w:rPr>
          <w:t xml:space="preserve"> Jonathan Taylor</w:t>
        </w:r>
      </w:hyperlink>
      <w:r>
        <w:rPr>
          <w:rStyle w:val="Hyperlink"/>
          <w:rFonts w:ascii="Open Sans" w:eastAsia="Calibri" w:hAnsi="Open Sans" w:cs="Open Sans"/>
        </w:rPr>
        <w:t>.</w:t>
      </w:r>
    </w:p>
    <w:p w14:paraId="741C6AD1" w14:textId="77777777" w:rsidR="0024211A" w:rsidRPr="0024211A" w:rsidRDefault="0024211A" w:rsidP="00030B6B">
      <w:pPr>
        <w:rPr>
          <w:rFonts w:ascii="Open Sans" w:eastAsia="Calibri" w:hAnsi="Open Sans" w:cs="Open Sans"/>
          <w:color w:val="0000FF"/>
          <w:u w:val="single"/>
        </w:rPr>
      </w:pPr>
    </w:p>
    <w:p w14:paraId="72334550" w14:textId="1CD5A087" w:rsidR="004C796E" w:rsidRDefault="004C796E" w:rsidP="004C796E">
      <w:pPr>
        <w:rPr>
          <w:rFonts w:ascii="Open Sans" w:hAnsi="Open Sans" w:cs="Open Sans"/>
          <w:b/>
          <w:bCs/>
        </w:rPr>
      </w:pPr>
      <w:r>
        <w:rPr>
          <w:rFonts w:ascii="Open Sans" w:hAnsi="Open Sans" w:cs="Open Sans"/>
          <w:b/>
          <w:bCs/>
        </w:rPr>
        <w:t xml:space="preserve">A: INTRODUCTION </w:t>
      </w:r>
    </w:p>
    <w:p w14:paraId="6E262FAF" w14:textId="77777777" w:rsidR="00710316" w:rsidRDefault="00BF549E" w:rsidP="003A53DC">
      <w:pPr>
        <w:pStyle w:val="ListParagraph"/>
        <w:numPr>
          <w:ilvl w:val="0"/>
          <w:numId w:val="32"/>
        </w:numPr>
        <w:rPr>
          <w:rFonts w:ascii="Open Sans" w:hAnsi="Open Sans" w:cs="Open Sans"/>
        </w:rPr>
      </w:pPr>
      <w:r w:rsidRPr="002436BF">
        <w:rPr>
          <w:rFonts w:ascii="Open Sans" w:hAnsi="Open Sans" w:cs="Open Sans"/>
        </w:rPr>
        <w:t xml:space="preserve">Whistleblowing and a good speak up culture play vital roles in detection and prevention of wrongdoing, </w:t>
      </w:r>
      <w:proofErr w:type="gramStart"/>
      <w:r w:rsidRPr="002436BF">
        <w:rPr>
          <w:rFonts w:ascii="Open Sans" w:hAnsi="Open Sans" w:cs="Open Sans"/>
        </w:rPr>
        <w:t>risk</w:t>
      </w:r>
      <w:proofErr w:type="gramEnd"/>
      <w:r w:rsidRPr="002436BF">
        <w:rPr>
          <w:rFonts w:ascii="Open Sans" w:hAnsi="Open Sans" w:cs="Open Sans"/>
        </w:rPr>
        <w:t xml:space="preserve"> and malpractice at an early stage. Studies have shown the value of whistleblowing in dealing with issues like economic crime. According to research from the </w:t>
      </w:r>
      <w:hyperlink r:id="rId11">
        <w:r w:rsidRPr="002436BF">
          <w:rPr>
            <w:rStyle w:val="Hyperlink"/>
            <w:rFonts w:ascii="Open Sans" w:hAnsi="Open Sans" w:cs="Open Sans"/>
          </w:rPr>
          <w:t>Association of Certified Fraud Examiners in 2020, 43% of fraudulent schemes were detected via a tip, of which at least 50% are known to have come from whistleblowers</w:t>
        </w:r>
      </w:hyperlink>
      <w:r w:rsidRPr="002436BF">
        <w:rPr>
          <w:rFonts w:ascii="Open Sans" w:hAnsi="Open Sans" w:cs="Open Sans"/>
        </w:rPr>
        <w:t>.</w:t>
      </w:r>
    </w:p>
    <w:p w14:paraId="49D7699C" w14:textId="4532A50B" w:rsidR="003A53DC" w:rsidRDefault="003A53DC" w:rsidP="003A53DC">
      <w:pPr>
        <w:pStyle w:val="ListParagraph"/>
        <w:numPr>
          <w:ilvl w:val="0"/>
          <w:numId w:val="32"/>
        </w:numPr>
        <w:rPr>
          <w:rFonts w:ascii="Open Sans" w:hAnsi="Open Sans" w:cs="Open Sans"/>
        </w:rPr>
      </w:pPr>
      <w:r w:rsidRPr="003A53DC">
        <w:rPr>
          <w:rFonts w:ascii="Open Sans" w:hAnsi="Open Sans" w:cs="Open Sans"/>
        </w:rPr>
        <w:t xml:space="preserve">Regulators </w:t>
      </w:r>
      <w:r>
        <w:rPr>
          <w:rFonts w:ascii="Open Sans" w:hAnsi="Open Sans" w:cs="Open Sans"/>
        </w:rPr>
        <w:t>have</w:t>
      </w:r>
      <w:r w:rsidR="00CE42D2">
        <w:rPr>
          <w:rFonts w:ascii="Open Sans" w:hAnsi="Open Sans" w:cs="Open Sans"/>
        </w:rPr>
        <w:t xml:space="preserve"> also</w:t>
      </w:r>
      <w:r>
        <w:rPr>
          <w:rFonts w:ascii="Open Sans" w:hAnsi="Open Sans" w:cs="Open Sans"/>
        </w:rPr>
        <w:t xml:space="preserve"> </w:t>
      </w:r>
      <w:r w:rsidRPr="003A53DC">
        <w:rPr>
          <w:rFonts w:ascii="Open Sans" w:hAnsi="Open Sans" w:cs="Open Sans"/>
        </w:rPr>
        <w:t>recognise</w:t>
      </w:r>
      <w:r>
        <w:rPr>
          <w:rFonts w:ascii="Open Sans" w:hAnsi="Open Sans" w:cs="Open Sans"/>
        </w:rPr>
        <w:t>d</w:t>
      </w:r>
      <w:r w:rsidRPr="003A53DC">
        <w:rPr>
          <w:rFonts w:ascii="Open Sans" w:hAnsi="Open Sans" w:cs="Open Sans"/>
        </w:rPr>
        <w:t xml:space="preserve"> the importance that whistleblowers have in providing key intelligence to help detect or investigate economic crime. </w:t>
      </w:r>
    </w:p>
    <w:p w14:paraId="33EE78CF" w14:textId="224741A7" w:rsidR="003A53DC" w:rsidRDefault="003A53DC" w:rsidP="003A53DC">
      <w:pPr>
        <w:pStyle w:val="ListParagraph"/>
        <w:numPr>
          <w:ilvl w:val="3"/>
          <w:numId w:val="32"/>
        </w:numPr>
        <w:rPr>
          <w:rFonts w:ascii="Open Sans" w:hAnsi="Open Sans" w:cs="Open Sans"/>
        </w:rPr>
      </w:pPr>
      <w:r w:rsidRPr="003A53DC">
        <w:rPr>
          <w:rFonts w:ascii="Open Sans" w:hAnsi="Open Sans" w:cs="Open Sans"/>
        </w:rPr>
        <w:t>“</w:t>
      </w:r>
      <w:r w:rsidRPr="003A53DC">
        <w:rPr>
          <w:rFonts w:ascii="Open Sans" w:hAnsi="Open Sans" w:cs="Open Sans"/>
          <w:i/>
          <w:iCs/>
        </w:rPr>
        <w:t xml:space="preserve">Whistleblowing reports are a vital source of our information. They give us unique insight into the sectors and firms we regulate, helping us to do our job and protect consumers. We assess every report we receive and use them to </w:t>
      </w:r>
      <w:proofErr w:type="gramStart"/>
      <w:r w:rsidRPr="003A53DC">
        <w:rPr>
          <w:rFonts w:ascii="Open Sans" w:hAnsi="Open Sans" w:cs="Open Sans"/>
          <w:i/>
          <w:iCs/>
        </w:rPr>
        <w:t>take action</w:t>
      </w:r>
      <w:proofErr w:type="gramEnd"/>
      <w:r w:rsidRPr="003A53DC">
        <w:rPr>
          <w:rFonts w:ascii="Open Sans" w:hAnsi="Open Sans" w:cs="Open Sans"/>
          <w:i/>
          <w:iCs/>
        </w:rPr>
        <w:t>, or to help inform our supervisory and enforcement strategies for both sectors and firms</w:t>
      </w:r>
      <w:r w:rsidRPr="003A53DC">
        <w:rPr>
          <w:rFonts w:ascii="Open Sans" w:hAnsi="Open Sans" w:cs="Open Sans"/>
        </w:rPr>
        <w:t xml:space="preserve">.” – </w:t>
      </w:r>
      <w:hyperlink r:id="rId12" w:history="1">
        <w:r w:rsidRPr="009F0DF7">
          <w:rPr>
            <w:rStyle w:val="Hyperlink"/>
            <w:rFonts w:ascii="Open Sans" w:hAnsi="Open Sans" w:cs="Open Sans"/>
          </w:rPr>
          <w:t>Financial Conduct Authority, Annual Reports and Accounts (2021/21)</w:t>
        </w:r>
      </w:hyperlink>
    </w:p>
    <w:p w14:paraId="36B62F6E" w14:textId="57D80C2C" w:rsidR="003A53DC" w:rsidRDefault="003A53DC" w:rsidP="003A53DC">
      <w:pPr>
        <w:pStyle w:val="ListParagraph"/>
        <w:numPr>
          <w:ilvl w:val="3"/>
          <w:numId w:val="32"/>
        </w:numPr>
        <w:rPr>
          <w:rFonts w:ascii="Open Sans" w:hAnsi="Open Sans" w:cs="Open Sans"/>
        </w:rPr>
      </w:pPr>
      <w:r w:rsidRPr="003A53DC">
        <w:rPr>
          <w:rFonts w:ascii="Open Sans" w:hAnsi="Open Sans" w:cs="Open Sans"/>
        </w:rPr>
        <w:lastRenderedPageBreak/>
        <w:t>“</w:t>
      </w:r>
      <w:r w:rsidRPr="003A53DC">
        <w:rPr>
          <w:rFonts w:ascii="Open Sans" w:hAnsi="Open Sans" w:cs="Open Sans"/>
          <w:i/>
          <w:iCs/>
        </w:rPr>
        <w:t>Whistleblowers continue to provide a vital source of information to the SFO in the fight against economic crime</w:t>
      </w:r>
      <w:r w:rsidRPr="003A53DC">
        <w:rPr>
          <w:rFonts w:ascii="Open Sans" w:hAnsi="Open Sans" w:cs="Open Sans"/>
        </w:rPr>
        <w:t xml:space="preserve">.” – </w:t>
      </w:r>
      <w:hyperlink r:id="rId13" w:history="1">
        <w:r w:rsidRPr="00161493">
          <w:rPr>
            <w:rStyle w:val="Hyperlink"/>
            <w:rFonts w:ascii="Open Sans" w:hAnsi="Open Sans" w:cs="Open Sans"/>
          </w:rPr>
          <w:t>Serious Fraud Office, Annual Report on Whistleblowing Disclosures 2020-21</w:t>
        </w:r>
      </w:hyperlink>
    </w:p>
    <w:p w14:paraId="57FBBE48" w14:textId="62D1CC98" w:rsidR="00C7095A" w:rsidRPr="0097625F" w:rsidRDefault="00D66782" w:rsidP="00A668AB">
      <w:pPr>
        <w:pStyle w:val="ListParagraph"/>
        <w:numPr>
          <w:ilvl w:val="0"/>
          <w:numId w:val="32"/>
        </w:numPr>
        <w:rPr>
          <w:rFonts w:ascii="Arial" w:eastAsia="Arial" w:hAnsi="Arial" w:cs="Arial"/>
        </w:rPr>
      </w:pPr>
      <w:r w:rsidRPr="0097625F">
        <w:rPr>
          <w:rFonts w:ascii="Open Sans" w:hAnsi="Open Sans" w:cs="Open Sans"/>
        </w:rPr>
        <w:t xml:space="preserve">For whistleblowing to work effectively, there must be </w:t>
      </w:r>
      <w:r w:rsidR="00C54767" w:rsidRPr="0097625F">
        <w:rPr>
          <w:rFonts w:ascii="Open Sans" w:hAnsi="Open Sans" w:cs="Open Sans"/>
        </w:rPr>
        <w:t>effective pr</w:t>
      </w:r>
      <w:r w:rsidR="00BF549E" w:rsidRPr="0097625F">
        <w:rPr>
          <w:rFonts w:ascii="Open Sans" w:hAnsi="Open Sans" w:cs="Open Sans"/>
        </w:rPr>
        <w:t>ocesses</w:t>
      </w:r>
      <w:r w:rsidR="00C54767" w:rsidRPr="0097625F">
        <w:rPr>
          <w:rFonts w:ascii="Open Sans" w:hAnsi="Open Sans" w:cs="Open Sans"/>
        </w:rPr>
        <w:t xml:space="preserve"> in place internally, as well as </w:t>
      </w:r>
      <w:r w:rsidR="00263434" w:rsidRPr="0097625F">
        <w:rPr>
          <w:rFonts w:ascii="Open Sans" w:hAnsi="Open Sans" w:cs="Open Sans"/>
        </w:rPr>
        <w:t xml:space="preserve">effective and </w:t>
      </w:r>
      <w:r w:rsidR="00C54767" w:rsidRPr="0097625F">
        <w:rPr>
          <w:rFonts w:ascii="Open Sans" w:hAnsi="Open Sans" w:cs="Open Sans"/>
        </w:rPr>
        <w:t>well-resourced external r</w:t>
      </w:r>
      <w:r w:rsidR="00263434" w:rsidRPr="0097625F">
        <w:rPr>
          <w:rFonts w:ascii="Open Sans" w:hAnsi="Open Sans" w:cs="Open Sans"/>
        </w:rPr>
        <w:t>outes</w:t>
      </w:r>
      <w:r w:rsidR="00BF549E" w:rsidRPr="0097625F">
        <w:rPr>
          <w:rFonts w:ascii="Open Sans" w:hAnsi="Open Sans" w:cs="Open Sans"/>
        </w:rPr>
        <w:t xml:space="preserve"> for raising concerns. </w:t>
      </w:r>
    </w:p>
    <w:p w14:paraId="3821748B" w14:textId="4B2397EC" w:rsidR="00A668AB" w:rsidRPr="00EF2152" w:rsidRDefault="00616B85" w:rsidP="00A668AB">
      <w:pPr>
        <w:pStyle w:val="ListParagraph"/>
        <w:numPr>
          <w:ilvl w:val="0"/>
          <w:numId w:val="32"/>
        </w:numPr>
        <w:rPr>
          <w:rFonts w:ascii="Arial" w:eastAsia="Arial" w:hAnsi="Arial" w:cs="Arial"/>
          <w:color w:val="FF0000"/>
        </w:rPr>
      </w:pPr>
      <w:r w:rsidRPr="0097625F">
        <w:rPr>
          <w:rFonts w:ascii="Open Sans" w:hAnsi="Open Sans" w:cs="Open Sans"/>
        </w:rPr>
        <w:t xml:space="preserve">However, currently there </w:t>
      </w:r>
      <w:r w:rsidR="00EF2152" w:rsidRPr="0097625F">
        <w:rPr>
          <w:rFonts w:ascii="Open Sans" w:hAnsi="Open Sans" w:cs="Open Sans"/>
        </w:rPr>
        <w:t xml:space="preserve">are </w:t>
      </w:r>
      <w:r w:rsidR="00C86684" w:rsidRPr="0097625F">
        <w:rPr>
          <w:rFonts w:ascii="Open Sans" w:hAnsi="Open Sans" w:cs="Open Sans"/>
        </w:rPr>
        <w:t xml:space="preserve">limited standards set on employers </w:t>
      </w:r>
      <w:r w:rsidR="00621307" w:rsidRPr="0097625F">
        <w:rPr>
          <w:rFonts w:ascii="Open Sans" w:hAnsi="Open Sans" w:cs="Open Sans"/>
        </w:rPr>
        <w:t>and law-enforcement/regulatory bodies</w:t>
      </w:r>
      <w:r w:rsidR="00716392">
        <w:rPr>
          <w:rFonts w:ascii="Open Sans" w:hAnsi="Open Sans" w:cs="Open Sans"/>
        </w:rPr>
        <w:t xml:space="preserve">. </w:t>
      </w:r>
      <w:r w:rsidR="00F96A81">
        <w:rPr>
          <w:rFonts w:ascii="Open Sans" w:hAnsi="Open Sans" w:cs="Open Sans"/>
        </w:rPr>
        <w:t>We</w:t>
      </w:r>
      <w:r w:rsidR="00605BE7">
        <w:rPr>
          <w:rFonts w:ascii="Open Sans" w:hAnsi="Open Sans" w:cs="Open Sans"/>
        </w:rPr>
        <w:t xml:space="preserve"> are lacking a</w:t>
      </w:r>
      <w:r w:rsidR="00C7095A" w:rsidRPr="0097625F">
        <w:rPr>
          <w:rFonts w:ascii="Open Sans" w:hAnsi="Open Sans" w:cs="Open Sans"/>
        </w:rPr>
        <w:t xml:space="preserve"> </w:t>
      </w:r>
      <w:r w:rsidR="00BA60D2" w:rsidRPr="0097625F">
        <w:rPr>
          <w:rFonts w:ascii="Open Sans" w:hAnsi="Open Sans" w:cs="Open Sans"/>
        </w:rPr>
        <w:t>uniformed</w:t>
      </w:r>
      <w:r w:rsidR="00253E19" w:rsidRPr="0097625F">
        <w:rPr>
          <w:rFonts w:ascii="Open Sans" w:hAnsi="Open Sans" w:cs="Open Sans"/>
        </w:rPr>
        <w:t xml:space="preserve"> and adequate</w:t>
      </w:r>
      <w:r w:rsidR="00BA60D2" w:rsidRPr="0097625F">
        <w:rPr>
          <w:rFonts w:ascii="Open Sans" w:hAnsi="Open Sans" w:cs="Open Sans"/>
        </w:rPr>
        <w:t xml:space="preserve"> approach</w:t>
      </w:r>
      <w:r w:rsidR="00253E19" w:rsidRPr="0097625F">
        <w:rPr>
          <w:rFonts w:ascii="Open Sans" w:hAnsi="Open Sans" w:cs="Open Sans"/>
        </w:rPr>
        <w:t xml:space="preserve"> </w:t>
      </w:r>
      <w:r w:rsidR="000867F2">
        <w:rPr>
          <w:rFonts w:ascii="Open Sans" w:hAnsi="Open Sans" w:cs="Open Sans"/>
        </w:rPr>
        <w:t xml:space="preserve">to </w:t>
      </w:r>
      <w:r w:rsidR="00253E19" w:rsidRPr="0097625F">
        <w:rPr>
          <w:rFonts w:ascii="Open Sans" w:hAnsi="Open Sans" w:cs="Open Sans"/>
        </w:rPr>
        <w:t xml:space="preserve">dealing with whistleblowers and the wrongdoing that they raise. This is </w:t>
      </w:r>
      <w:r w:rsidR="005A24D0" w:rsidRPr="0097625F">
        <w:rPr>
          <w:rFonts w:ascii="Open Sans" w:hAnsi="Open Sans" w:cs="Open Sans"/>
        </w:rPr>
        <w:t xml:space="preserve">exacerbated </w:t>
      </w:r>
      <w:r w:rsidR="00401BA0" w:rsidRPr="0097625F">
        <w:rPr>
          <w:rFonts w:ascii="Open Sans" w:hAnsi="Open Sans" w:cs="Open Sans"/>
        </w:rPr>
        <w:t xml:space="preserve">when whistleblowers raise concerns about fraud, </w:t>
      </w:r>
      <w:r w:rsidR="009907AF" w:rsidRPr="0097625F">
        <w:rPr>
          <w:rFonts w:ascii="Open Sans" w:hAnsi="Open Sans" w:cs="Open Sans"/>
        </w:rPr>
        <w:t>anti-</w:t>
      </w:r>
      <w:r w:rsidR="001F6B9A" w:rsidRPr="0097625F">
        <w:rPr>
          <w:rFonts w:ascii="Open Sans" w:hAnsi="Open Sans" w:cs="Open Sans"/>
        </w:rPr>
        <w:t>corruption,</w:t>
      </w:r>
      <w:r w:rsidR="00401BA0" w:rsidRPr="0097625F">
        <w:rPr>
          <w:rFonts w:ascii="Open Sans" w:hAnsi="Open Sans" w:cs="Open Sans"/>
        </w:rPr>
        <w:t xml:space="preserve"> and economic crime because</w:t>
      </w:r>
      <w:r w:rsidR="00FF324F" w:rsidRPr="0097625F">
        <w:rPr>
          <w:rFonts w:ascii="Open Sans" w:hAnsi="Open Sans" w:cs="Open Sans"/>
        </w:rPr>
        <w:t xml:space="preserve"> of the complex regulatory landscape in this area. </w:t>
      </w:r>
      <w:r w:rsidR="6E8E4892" w:rsidRPr="3E027110">
        <w:rPr>
          <w:rFonts w:ascii="Open Sans" w:hAnsi="Open Sans" w:cs="Open Sans"/>
        </w:rPr>
        <w:t xml:space="preserve">The </w:t>
      </w:r>
      <w:hyperlink r:id="rId14">
        <w:r w:rsidR="6E8E4892" w:rsidRPr="3E027110">
          <w:rPr>
            <w:rStyle w:val="Hyperlink"/>
            <w:rFonts w:ascii="Open Sans" w:hAnsi="Open Sans" w:cs="Open Sans"/>
          </w:rPr>
          <w:t xml:space="preserve">Treasury Committee has also stated that the number of agencies responsible </w:t>
        </w:r>
        <w:r w:rsidR="57B29CFB" w:rsidRPr="3E027110">
          <w:rPr>
            <w:rStyle w:val="Hyperlink"/>
            <w:rFonts w:ascii="Open Sans" w:hAnsi="Open Sans" w:cs="Open Sans"/>
          </w:rPr>
          <w:t xml:space="preserve">for fighting </w:t>
        </w:r>
        <w:r w:rsidR="500C2CC6" w:rsidRPr="3E027110">
          <w:rPr>
            <w:rStyle w:val="Hyperlink"/>
            <w:rFonts w:ascii="Open Sans" w:hAnsi="Open Sans" w:cs="Open Sans"/>
          </w:rPr>
          <w:t>economic crime and fraud is ‘bewildering’</w:t>
        </w:r>
      </w:hyperlink>
      <w:r w:rsidR="500C2CC6" w:rsidRPr="3E027110">
        <w:rPr>
          <w:rFonts w:ascii="Open Sans" w:hAnsi="Open Sans" w:cs="Open Sans"/>
          <w:color w:val="FF0000"/>
        </w:rPr>
        <w:t xml:space="preserve">. </w:t>
      </w:r>
    </w:p>
    <w:p w14:paraId="5CAA1595" w14:textId="7D2B215F" w:rsidR="00263434" w:rsidRPr="00E40BB1" w:rsidRDefault="00263434" w:rsidP="00E40BB1">
      <w:pPr>
        <w:pStyle w:val="ListParagraph"/>
        <w:numPr>
          <w:ilvl w:val="0"/>
          <w:numId w:val="32"/>
        </w:numPr>
        <w:rPr>
          <w:rFonts w:ascii="Open Sans" w:hAnsi="Open Sans" w:cs="Open Sans"/>
        </w:rPr>
      </w:pPr>
      <w:r>
        <w:rPr>
          <w:rFonts w:ascii="Open Sans" w:hAnsi="Open Sans" w:cs="Open Sans"/>
        </w:rPr>
        <w:t>Our concern is that without effective enforcemen</w:t>
      </w:r>
      <w:r w:rsidR="002B6259">
        <w:rPr>
          <w:rFonts w:ascii="Open Sans" w:hAnsi="Open Sans" w:cs="Open Sans"/>
        </w:rPr>
        <w:t>t</w:t>
      </w:r>
      <w:r>
        <w:rPr>
          <w:rFonts w:ascii="Open Sans" w:hAnsi="Open Sans" w:cs="Open Sans"/>
        </w:rPr>
        <w:t xml:space="preserve"> </w:t>
      </w:r>
      <w:r w:rsidR="009907AF">
        <w:rPr>
          <w:rFonts w:ascii="Open Sans" w:hAnsi="Open Sans" w:cs="Open Sans"/>
        </w:rPr>
        <w:t xml:space="preserve">across the board, </w:t>
      </w:r>
      <w:r>
        <w:rPr>
          <w:rFonts w:ascii="Open Sans" w:hAnsi="Open Sans" w:cs="Open Sans"/>
        </w:rPr>
        <w:t>whistleblowing is seriously undermined.</w:t>
      </w:r>
      <w:r w:rsidRPr="00E40BB1">
        <w:rPr>
          <w:rFonts w:ascii="Open Sans" w:hAnsi="Open Sans" w:cs="Open Sans"/>
        </w:rPr>
        <w:t xml:space="preserve"> </w:t>
      </w:r>
      <w:r w:rsidR="005A24D0">
        <w:rPr>
          <w:rFonts w:ascii="Open Sans" w:hAnsi="Open Sans" w:cs="Open Sans"/>
        </w:rPr>
        <w:t>A Commission could help standardise the enforcement process</w:t>
      </w:r>
      <w:r w:rsidR="00C7095A">
        <w:rPr>
          <w:rFonts w:ascii="Open Sans" w:hAnsi="Open Sans" w:cs="Open Sans"/>
        </w:rPr>
        <w:t xml:space="preserve"> for all employers and law enforcement/regulatory bodies who will engage with the issues and offences raised in this Bill. </w:t>
      </w:r>
    </w:p>
    <w:p w14:paraId="2990F2CF" w14:textId="1312FA7F" w:rsidR="006076D2" w:rsidRDefault="006076D2" w:rsidP="006076D2">
      <w:pPr>
        <w:rPr>
          <w:rFonts w:ascii="Open Sans" w:hAnsi="Open Sans" w:cs="Open Sans"/>
        </w:rPr>
      </w:pPr>
      <w:r>
        <w:rPr>
          <w:rFonts w:ascii="Open Sans" w:hAnsi="Open Sans" w:cs="Open Sans"/>
          <w:b/>
          <w:bCs/>
        </w:rPr>
        <w:t xml:space="preserve">B: THE COMMISSION FOR THE PROTECTION OF WHISTEBLOWERS </w:t>
      </w:r>
      <w:r w:rsidR="000D292F">
        <w:rPr>
          <w:rFonts w:ascii="Open Sans" w:hAnsi="Open Sans" w:cs="Open Sans"/>
          <w:b/>
          <w:bCs/>
        </w:rPr>
        <w:t>(THE ‘COMMISSION’)</w:t>
      </w:r>
    </w:p>
    <w:p w14:paraId="2CD33860" w14:textId="25F0C65A" w:rsidR="006076D2" w:rsidRDefault="00277A03" w:rsidP="006076D2">
      <w:pPr>
        <w:pStyle w:val="ListParagraph"/>
        <w:numPr>
          <w:ilvl w:val="0"/>
          <w:numId w:val="32"/>
        </w:numPr>
        <w:rPr>
          <w:rFonts w:ascii="Open Sans" w:hAnsi="Open Sans" w:cs="Open Sans"/>
        </w:rPr>
      </w:pPr>
      <w:r>
        <w:rPr>
          <w:rFonts w:ascii="Open Sans" w:hAnsi="Open Sans" w:cs="Open Sans"/>
        </w:rPr>
        <w:t xml:space="preserve">The Commission </w:t>
      </w:r>
      <w:r w:rsidR="00206C75">
        <w:rPr>
          <w:rFonts w:ascii="Open Sans" w:hAnsi="Open Sans" w:cs="Open Sans"/>
        </w:rPr>
        <w:t>should</w:t>
      </w:r>
      <w:r>
        <w:rPr>
          <w:rFonts w:ascii="Open Sans" w:hAnsi="Open Sans" w:cs="Open Sans"/>
        </w:rPr>
        <w:t xml:space="preserve"> be an independent </w:t>
      </w:r>
      <w:r w:rsidR="00504F38">
        <w:rPr>
          <w:rFonts w:ascii="Open Sans" w:hAnsi="Open Sans" w:cs="Open Sans"/>
        </w:rPr>
        <w:t xml:space="preserve">enforcement </w:t>
      </w:r>
      <w:r>
        <w:rPr>
          <w:rFonts w:ascii="Open Sans" w:hAnsi="Open Sans" w:cs="Open Sans"/>
        </w:rPr>
        <w:t xml:space="preserve">body </w:t>
      </w:r>
      <w:r w:rsidR="00206C75">
        <w:rPr>
          <w:rFonts w:ascii="Open Sans" w:hAnsi="Open Sans" w:cs="Open Sans"/>
        </w:rPr>
        <w:t>with the powers to:</w:t>
      </w:r>
    </w:p>
    <w:p w14:paraId="659E8ABF" w14:textId="7C2F3E5C" w:rsidR="00206C75" w:rsidRDefault="0034576C" w:rsidP="00206C75">
      <w:pPr>
        <w:pStyle w:val="ListParagraph"/>
        <w:numPr>
          <w:ilvl w:val="3"/>
          <w:numId w:val="32"/>
        </w:numPr>
        <w:rPr>
          <w:rFonts w:ascii="Open Sans" w:hAnsi="Open Sans" w:cs="Open Sans"/>
        </w:rPr>
      </w:pPr>
      <w:r>
        <w:rPr>
          <w:rFonts w:ascii="Open Sans" w:hAnsi="Open Sans" w:cs="Open Sans"/>
        </w:rPr>
        <w:t xml:space="preserve">Set standards expected of employers when </w:t>
      </w:r>
      <w:r w:rsidR="006633CF">
        <w:rPr>
          <w:rFonts w:ascii="Open Sans" w:hAnsi="Open Sans" w:cs="Open Sans"/>
        </w:rPr>
        <w:t xml:space="preserve">they receive </w:t>
      </w:r>
      <w:r w:rsidR="005331BC">
        <w:rPr>
          <w:rFonts w:ascii="Open Sans" w:hAnsi="Open Sans" w:cs="Open Sans"/>
        </w:rPr>
        <w:t xml:space="preserve">and investigate </w:t>
      </w:r>
      <w:r w:rsidR="006633CF">
        <w:rPr>
          <w:rFonts w:ascii="Open Sans" w:hAnsi="Open Sans" w:cs="Open Sans"/>
        </w:rPr>
        <w:t>whistleblowing concerns.</w:t>
      </w:r>
    </w:p>
    <w:p w14:paraId="566C5BCD" w14:textId="58ED11A7" w:rsidR="0034576C" w:rsidRPr="005331BC" w:rsidRDefault="0034576C" w:rsidP="005331BC">
      <w:pPr>
        <w:pStyle w:val="ListParagraph"/>
        <w:numPr>
          <w:ilvl w:val="3"/>
          <w:numId w:val="32"/>
        </w:numPr>
        <w:rPr>
          <w:rFonts w:ascii="Open Sans" w:hAnsi="Open Sans" w:cs="Open Sans"/>
        </w:rPr>
      </w:pPr>
      <w:r>
        <w:rPr>
          <w:rFonts w:ascii="Open Sans" w:hAnsi="Open Sans" w:cs="Open Sans"/>
        </w:rPr>
        <w:t xml:space="preserve">Set standards on regulatory and law enforcement bodies </w:t>
      </w:r>
      <w:r w:rsidR="005331BC">
        <w:rPr>
          <w:rFonts w:ascii="Open Sans" w:hAnsi="Open Sans" w:cs="Open Sans"/>
        </w:rPr>
        <w:t>when they receive and investigate whistleblowing concerns.</w:t>
      </w:r>
    </w:p>
    <w:p w14:paraId="57DF3016" w14:textId="626AFBAE" w:rsidR="0034576C" w:rsidRDefault="0034576C" w:rsidP="00206C75">
      <w:pPr>
        <w:pStyle w:val="ListParagraph"/>
        <w:numPr>
          <w:ilvl w:val="3"/>
          <w:numId w:val="32"/>
        </w:numPr>
        <w:rPr>
          <w:rFonts w:ascii="Open Sans" w:hAnsi="Open Sans" w:cs="Open Sans"/>
        </w:rPr>
      </w:pPr>
      <w:r>
        <w:rPr>
          <w:rFonts w:ascii="Open Sans" w:hAnsi="Open Sans" w:cs="Open Sans"/>
        </w:rPr>
        <w:t xml:space="preserve">Investigate complaints </w:t>
      </w:r>
      <w:r w:rsidR="001557CD">
        <w:rPr>
          <w:rFonts w:ascii="Open Sans" w:hAnsi="Open Sans" w:cs="Open Sans"/>
        </w:rPr>
        <w:t xml:space="preserve">from whistleblowers where an employer or regulator/relevant authority has failed to investigate properly </w:t>
      </w:r>
      <w:r w:rsidR="000D292F">
        <w:rPr>
          <w:rFonts w:ascii="Open Sans" w:hAnsi="Open Sans" w:cs="Open Sans"/>
        </w:rPr>
        <w:t>or adhere to the standards set out by the Commission</w:t>
      </w:r>
      <w:r w:rsidR="00086EB2">
        <w:rPr>
          <w:rFonts w:ascii="Open Sans" w:hAnsi="Open Sans" w:cs="Open Sans"/>
        </w:rPr>
        <w:t>.</w:t>
      </w:r>
    </w:p>
    <w:p w14:paraId="2D6FB703" w14:textId="2BC34978" w:rsidR="008361C0" w:rsidRPr="003C131A" w:rsidRDefault="00433546" w:rsidP="00206C75">
      <w:pPr>
        <w:pStyle w:val="ListParagraph"/>
        <w:numPr>
          <w:ilvl w:val="3"/>
          <w:numId w:val="32"/>
        </w:numPr>
        <w:rPr>
          <w:rFonts w:ascii="Open Sans" w:hAnsi="Open Sans" w:cs="Open Sans"/>
        </w:rPr>
      </w:pPr>
      <w:r w:rsidRPr="003C131A">
        <w:rPr>
          <w:rFonts w:ascii="Open Sans" w:hAnsi="Open Sans" w:cs="Open Sans"/>
        </w:rPr>
        <w:t xml:space="preserve">Administer </w:t>
      </w:r>
      <w:r w:rsidR="00005C58" w:rsidRPr="003C131A">
        <w:rPr>
          <w:rFonts w:ascii="Open Sans" w:hAnsi="Open Sans" w:cs="Open Sans"/>
        </w:rPr>
        <w:t xml:space="preserve">civil penalties </w:t>
      </w:r>
      <w:r w:rsidRPr="003C131A">
        <w:rPr>
          <w:rFonts w:ascii="Open Sans" w:hAnsi="Open Sans" w:cs="Open Sans"/>
        </w:rPr>
        <w:t xml:space="preserve">where they judge appropriate against employers or regulators for breaches of their responsibilities </w:t>
      </w:r>
      <w:r w:rsidR="003C131A" w:rsidRPr="003C131A">
        <w:rPr>
          <w:rFonts w:ascii="Open Sans" w:hAnsi="Open Sans" w:cs="Open Sans"/>
        </w:rPr>
        <w:t xml:space="preserve">in the standards set out by the Commission. </w:t>
      </w:r>
      <w:r w:rsidR="00005C58" w:rsidRPr="003C131A">
        <w:rPr>
          <w:rFonts w:ascii="Open Sans" w:hAnsi="Open Sans" w:cs="Open Sans"/>
        </w:rPr>
        <w:t xml:space="preserve"> </w:t>
      </w:r>
    </w:p>
    <w:p w14:paraId="2385CED8" w14:textId="77777777" w:rsidR="00BA77A8" w:rsidRDefault="00772E01" w:rsidP="00BA77A8">
      <w:pPr>
        <w:pStyle w:val="ListParagraph"/>
        <w:ind w:left="360"/>
        <w:rPr>
          <w:rFonts w:ascii="Open Sans" w:hAnsi="Open Sans" w:cs="Open Sans"/>
          <w:b/>
          <w:bCs/>
        </w:rPr>
      </w:pPr>
      <w:r>
        <w:rPr>
          <w:rFonts w:ascii="Open Sans" w:hAnsi="Open Sans" w:cs="Open Sans"/>
          <w:b/>
          <w:bCs/>
        </w:rPr>
        <w:t xml:space="preserve">I: Standards on </w:t>
      </w:r>
      <w:r w:rsidR="00142782">
        <w:rPr>
          <w:rFonts w:ascii="Open Sans" w:hAnsi="Open Sans" w:cs="Open Sans"/>
          <w:b/>
          <w:bCs/>
        </w:rPr>
        <w:t>Employers</w:t>
      </w:r>
      <w:r>
        <w:rPr>
          <w:rFonts w:ascii="Open Sans" w:hAnsi="Open Sans" w:cs="Open Sans"/>
          <w:b/>
          <w:bCs/>
        </w:rPr>
        <w:t xml:space="preserve"> </w:t>
      </w:r>
    </w:p>
    <w:p w14:paraId="32D3C44C" w14:textId="3773ADCE" w:rsidR="00603C92" w:rsidRPr="00BA77A8" w:rsidRDefault="00E40BB1" w:rsidP="00BA77A8">
      <w:pPr>
        <w:pStyle w:val="ListParagraph"/>
        <w:numPr>
          <w:ilvl w:val="0"/>
          <w:numId w:val="32"/>
        </w:numPr>
        <w:rPr>
          <w:rFonts w:ascii="Open Sans" w:hAnsi="Open Sans" w:cs="Open Sans"/>
          <w:b/>
          <w:bCs/>
        </w:rPr>
      </w:pPr>
      <w:r w:rsidRPr="002436BF">
        <w:rPr>
          <w:rFonts w:ascii="Open Sans" w:hAnsi="Open Sans" w:cs="Open Sans"/>
        </w:rPr>
        <w:t>Internal whistleblowing can be an effective way for organisations to be alerted early to the risk corruption or fraud.</w:t>
      </w:r>
      <w:r w:rsidR="00603C92">
        <w:rPr>
          <w:rFonts w:ascii="Open Sans" w:hAnsi="Open Sans" w:cs="Open Sans"/>
        </w:rPr>
        <w:t xml:space="preserve"> However</w:t>
      </w:r>
      <w:r w:rsidR="00603C92" w:rsidRPr="00603C92">
        <w:rPr>
          <w:rFonts w:ascii="Open Sans" w:hAnsi="Open Sans" w:cs="Open Sans"/>
        </w:rPr>
        <w:t>, the whistleblowing law, the Public Interest Disclosure Act 1998, only gives workers a legal right to bring a claim if they are victimised or dismissed for raising their concerns</w:t>
      </w:r>
      <w:r w:rsidR="00603C92">
        <w:rPr>
          <w:rFonts w:ascii="Open Sans" w:hAnsi="Open Sans" w:cs="Open Sans"/>
        </w:rPr>
        <w:t>. It</w:t>
      </w:r>
      <w:r w:rsidR="00603C92" w:rsidRPr="00603C92">
        <w:rPr>
          <w:rFonts w:ascii="Open Sans" w:hAnsi="Open Sans" w:cs="Open Sans"/>
        </w:rPr>
        <w:t xml:space="preserve"> does not mandate a positive duty on employers to have whistleblowing arrangements or legal requirements on how to handle those disclosures. There are limited exceptions to this such as the finance sector and health care sector where regulators, such as the FCA, have imposed whistleblowing rules on employers. </w:t>
      </w:r>
    </w:p>
    <w:p w14:paraId="2C05D5B8" w14:textId="18953C18" w:rsidR="00142782" w:rsidRPr="000073CD" w:rsidRDefault="00F96A81" w:rsidP="000073CD">
      <w:pPr>
        <w:pStyle w:val="ListParagraph"/>
        <w:numPr>
          <w:ilvl w:val="0"/>
          <w:numId w:val="32"/>
        </w:numPr>
        <w:rPr>
          <w:rFonts w:ascii="Open Sans" w:eastAsia="Calibri" w:hAnsi="Open Sans" w:cs="Open Sans"/>
        </w:rPr>
      </w:pPr>
      <w:hyperlink r:id="rId15">
        <w:r w:rsidR="00E40BB1" w:rsidRPr="007B3FF7">
          <w:rPr>
            <w:rStyle w:val="Hyperlink"/>
            <w:rFonts w:ascii="Open Sans" w:hAnsi="Open Sans" w:cs="Open Sans"/>
          </w:rPr>
          <w:t xml:space="preserve">Protect’s research has shown following </w:t>
        </w:r>
        <w:r w:rsidR="00E40BB1" w:rsidRPr="007B3FF7">
          <w:rPr>
            <w:rStyle w:val="Hyperlink"/>
            <w:rFonts w:ascii="Open Sans" w:eastAsia="Calibri" w:hAnsi="Open Sans" w:cs="Open Sans"/>
          </w:rPr>
          <w:t>the introduction of whistleblowing rules in 2016 into the financial sector requiring banks to have whistleblowing arrangements a 15% increase in the number of whistleblowers raising their concerns about wrongdoing or malpractice with their employer, compared with our 2012 research</w:t>
        </w:r>
      </w:hyperlink>
      <w:r w:rsidR="00E40BB1" w:rsidRPr="007B3FF7">
        <w:rPr>
          <w:rFonts w:ascii="Open Sans" w:eastAsia="Calibri" w:hAnsi="Open Sans" w:cs="Open Sans"/>
        </w:rPr>
        <w:t>. This shows an increased use and possible trust in those internal procedure</w:t>
      </w:r>
      <w:r w:rsidR="007B3FF7" w:rsidRPr="007B3FF7">
        <w:rPr>
          <w:rFonts w:ascii="Open Sans" w:eastAsia="Calibri" w:hAnsi="Open Sans" w:cs="Open Sans"/>
        </w:rPr>
        <w:t xml:space="preserve">s. </w:t>
      </w:r>
      <w:r w:rsidR="000073CD" w:rsidRPr="3E027110">
        <w:rPr>
          <w:rFonts w:ascii="Open Sans" w:eastAsia="Calibri" w:hAnsi="Open Sans" w:cs="Open Sans"/>
        </w:rPr>
        <w:t>Similarly</w:t>
      </w:r>
      <w:r w:rsidR="007B3FF7" w:rsidRPr="3E027110">
        <w:rPr>
          <w:rFonts w:ascii="Open Sans" w:eastAsia="Calibri" w:hAnsi="Open Sans" w:cs="Open Sans"/>
        </w:rPr>
        <w:t xml:space="preserve">, </w:t>
      </w:r>
      <w:r w:rsidR="000073CD" w:rsidRPr="3E027110">
        <w:rPr>
          <w:rFonts w:ascii="Open Sans" w:eastAsia="Calibri" w:hAnsi="Open Sans" w:cs="Open Sans"/>
        </w:rPr>
        <w:t>o</w:t>
      </w:r>
      <w:r w:rsidR="007B3FF7" w:rsidRPr="3E027110">
        <w:rPr>
          <w:rFonts w:ascii="Open Sans" w:eastAsia="Calibri" w:hAnsi="Open Sans" w:cs="Open Sans"/>
        </w:rPr>
        <w:t xml:space="preserve">ur </w:t>
      </w:r>
      <w:hyperlink r:id="rId16">
        <w:r w:rsidR="007B3FF7" w:rsidRPr="3E027110">
          <w:rPr>
            <w:rStyle w:val="Hyperlink"/>
            <w:rFonts w:ascii="Open Sans" w:eastAsia="Calibri" w:hAnsi="Open Sans" w:cs="Open Sans"/>
          </w:rPr>
          <w:t>2021 YouGov survey</w:t>
        </w:r>
      </w:hyperlink>
      <w:r w:rsidR="007B3FF7" w:rsidRPr="007B3FF7">
        <w:rPr>
          <w:rFonts w:ascii="Open Sans" w:eastAsia="Calibri" w:hAnsi="Open Sans" w:cs="Open Sans"/>
        </w:rPr>
        <w:t xml:space="preserve"> found that 79% of people support a legal requirement for employers to investigate whistleblowing concerns.</w:t>
      </w:r>
    </w:p>
    <w:p w14:paraId="31904989" w14:textId="28A8AFFE" w:rsidR="00142782" w:rsidRPr="00F53018" w:rsidRDefault="00561A59" w:rsidP="00142782">
      <w:pPr>
        <w:pStyle w:val="ListParagraph"/>
        <w:numPr>
          <w:ilvl w:val="0"/>
          <w:numId w:val="32"/>
        </w:numPr>
        <w:rPr>
          <w:rFonts w:ascii="Open Sans" w:hAnsi="Open Sans" w:cs="Open Sans"/>
          <w:b/>
          <w:color w:val="000000" w:themeColor="text1"/>
        </w:rPr>
      </w:pPr>
      <w:r w:rsidRPr="3E027110">
        <w:rPr>
          <w:rFonts w:ascii="Open Sans" w:hAnsi="Open Sans" w:cs="Open Sans"/>
        </w:rPr>
        <w:lastRenderedPageBreak/>
        <w:t xml:space="preserve">The Commission should set standards across </w:t>
      </w:r>
      <w:r w:rsidR="007C27B6" w:rsidRPr="3E027110">
        <w:rPr>
          <w:rFonts w:ascii="Open Sans" w:hAnsi="Open Sans" w:cs="Open Sans"/>
        </w:rPr>
        <w:t xml:space="preserve">any </w:t>
      </w:r>
      <w:r w:rsidR="00F20D1C" w:rsidRPr="3E027110">
        <w:rPr>
          <w:rFonts w:ascii="Open Sans" w:hAnsi="Open Sans" w:cs="Open Sans"/>
        </w:rPr>
        <w:t xml:space="preserve">employer who may engage with </w:t>
      </w:r>
      <w:r w:rsidR="00174C36">
        <w:rPr>
          <w:rFonts w:ascii="Open Sans" w:hAnsi="Open Sans" w:cs="Open Sans"/>
        </w:rPr>
        <w:t>breaches of the provisions</w:t>
      </w:r>
      <w:r w:rsidR="00F20D1C" w:rsidRPr="3E027110">
        <w:rPr>
          <w:rFonts w:ascii="Open Sans" w:hAnsi="Open Sans" w:cs="Open Sans"/>
        </w:rPr>
        <w:t xml:space="preserve"> in the Bill</w:t>
      </w:r>
      <w:r w:rsidR="009229BF" w:rsidRPr="3E027110">
        <w:rPr>
          <w:rFonts w:ascii="Open Sans" w:hAnsi="Open Sans" w:cs="Open Sans"/>
        </w:rPr>
        <w:t xml:space="preserve"> to ensure </w:t>
      </w:r>
      <w:r w:rsidR="00C206EB" w:rsidRPr="3E027110">
        <w:rPr>
          <w:rFonts w:ascii="Open Sans" w:hAnsi="Open Sans" w:cs="Open Sans"/>
        </w:rPr>
        <w:t xml:space="preserve">greater internal whistleblowing so that breaches are identified and dealt with at an early stage. </w:t>
      </w:r>
    </w:p>
    <w:p w14:paraId="66D99F3E" w14:textId="38F0AF2F" w:rsidR="00F53018" w:rsidRPr="00C86684" w:rsidRDefault="00F53018" w:rsidP="00142782">
      <w:pPr>
        <w:pStyle w:val="ListParagraph"/>
        <w:numPr>
          <w:ilvl w:val="0"/>
          <w:numId w:val="32"/>
        </w:numPr>
        <w:rPr>
          <w:rFonts w:ascii="Open Sans" w:hAnsi="Open Sans" w:cs="Open Sans"/>
          <w:b/>
          <w:bCs/>
          <w:color w:val="FF0000"/>
        </w:rPr>
      </w:pPr>
      <w:r w:rsidRPr="3E027110">
        <w:rPr>
          <w:rFonts w:ascii="Open Sans" w:hAnsi="Open Sans" w:cs="Open Sans"/>
        </w:rPr>
        <w:t>Protect thinks that these standards should be applied to all employers with 50+ employees</w:t>
      </w:r>
      <w:r w:rsidR="00C206EB" w:rsidRPr="3E027110">
        <w:rPr>
          <w:rFonts w:ascii="Open Sans" w:hAnsi="Open Sans" w:cs="Open Sans"/>
        </w:rPr>
        <w:t xml:space="preserve">, not just those </w:t>
      </w:r>
      <w:r w:rsidR="00F35F04" w:rsidRPr="3E027110">
        <w:rPr>
          <w:rFonts w:ascii="Open Sans" w:hAnsi="Open Sans" w:cs="Open Sans"/>
        </w:rPr>
        <w:t>employers who may engage with provisions in this Bill.</w:t>
      </w:r>
      <w:r>
        <w:rPr>
          <w:rFonts w:ascii="Open Sans" w:hAnsi="Open Sans" w:cs="Open Sans"/>
          <w:color w:val="FF0000"/>
        </w:rPr>
        <w:t xml:space="preserve"> </w:t>
      </w:r>
    </w:p>
    <w:p w14:paraId="15F115BC" w14:textId="5B8C734D" w:rsidR="00142782" w:rsidRPr="00142782" w:rsidRDefault="00142782" w:rsidP="00142782">
      <w:pPr>
        <w:ind w:left="360"/>
        <w:rPr>
          <w:rFonts w:ascii="Open Sans" w:hAnsi="Open Sans" w:cs="Open Sans"/>
          <w:b/>
          <w:bCs/>
        </w:rPr>
      </w:pPr>
      <w:r>
        <w:rPr>
          <w:rFonts w:ascii="Open Sans" w:hAnsi="Open Sans" w:cs="Open Sans"/>
          <w:b/>
          <w:bCs/>
        </w:rPr>
        <w:t xml:space="preserve">II: Standard on Regulators </w:t>
      </w:r>
    </w:p>
    <w:p w14:paraId="7109C913" w14:textId="77777777" w:rsidR="00142782" w:rsidRDefault="00142782" w:rsidP="00142782">
      <w:pPr>
        <w:pStyle w:val="ListParagraph"/>
        <w:numPr>
          <w:ilvl w:val="0"/>
          <w:numId w:val="32"/>
        </w:numPr>
        <w:rPr>
          <w:rFonts w:ascii="Open Sans" w:hAnsi="Open Sans" w:cs="Open Sans"/>
        </w:rPr>
      </w:pPr>
      <w:r w:rsidRPr="002436BF">
        <w:rPr>
          <w:rFonts w:ascii="Open Sans" w:hAnsi="Open Sans" w:cs="Open Sans"/>
        </w:rPr>
        <w:t xml:space="preserve">Our European partners have raised the bar for international best practice by placing obligations on regulators when it comes to their whistleblowing arrangements, resulting in the UK falling behind. </w:t>
      </w:r>
    </w:p>
    <w:p w14:paraId="543F7A11" w14:textId="16945134" w:rsidR="00710316" w:rsidRDefault="00142782" w:rsidP="00710316">
      <w:pPr>
        <w:pStyle w:val="ListParagraph"/>
        <w:numPr>
          <w:ilvl w:val="0"/>
          <w:numId w:val="32"/>
        </w:numPr>
        <w:rPr>
          <w:rFonts w:ascii="Open Sans" w:hAnsi="Open Sans" w:cs="Open Sans"/>
        </w:rPr>
      </w:pPr>
      <w:r w:rsidRPr="002436BF">
        <w:rPr>
          <w:rFonts w:ascii="Open Sans" w:hAnsi="Open Sans" w:cs="Open Sans"/>
        </w:rPr>
        <w:t>We propose that standards should be imposed on regulators when handling concerns brought to them by whistleblowers and when investigating the concerns themselves. Specifically, we recommend that</w:t>
      </w:r>
      <w:r w:rsidR="000732A2">
        <w:rPr>
          <w:rFonts w:ascii="Open Sans" w:hAnsi="Open Sans" w:cs="Open Sans"/>
        </w:rPr>
        <w:t xml:space="preserve"> the Commission places</w:t>
      </w:r>
      <w:r w:rsidRPr="002436BF">
        <w:rPr>
          <w:rFonts w:ascii="Open Sans" w:hAnsi="Open Sans" w:cs="Open Sans"/>
        </w:rPr>
        <w:t xml:space="preserve"> duties </w:t>
      </w:r>
      <w:r w:rsidR="000732A2">
        <w:rPr>
          <w:rFonts w:ascii="Open Sans" w:hAnsi="Open Sans" w:cs="Open Sans"/>
        </w:rPr>
        <w:t>on</w:t>
      </w:r>
      <w:r w:rsidRPr="002436BF">
        <w:rPr>
          <w:rFonts w:ascii="Open Sans" w:hAnsi="Open Sans" w:cs="Open Sans"/>
        </w:rPr>
        <w:t xml:space="preserve"> regulators investigating fraud and economic crime to have necessary channels and processes in place for whistleblowers to report their concerns. Regulators must be under a duty to appropriately investigate concerns about economic crime that are within their remit and, for those concerns that are not within their remit, regulators must pass onto the appropriate body.</w:t>
      </w:r>
    </w:p>
    <w:p w14:paraId="2B12F4F5" w14:textId="77777777" w:rsidR="004320F4" w:rsidRDefault="004320F4" w:rsidP="004320F4">
      <w:pPr>
        <w:pStyle w:val="ListParagraph"/>
        <w:ind w:left="360"/>
        <w:rPr>
          <w:rFonts w:ascii="Open Sans" w:hAnsi="Open Sans" w:cs="Open Sans"/>
        </w:rPr>
      </w:pPr>
    </w:p>
    <w:p w14:paraId="0A9D8FC0" w14:textId="0EADE4A7" w:rsidR="004320F4" w:rsidRPr="004320F4" w:rsidRDefault="004320F4" w:rsidP="004320F4">
      <w:pPr>
        <w:pStyle w:val="ListParagraph"/>
        <w:ind w:left="360"/>
        <w:rPr>
          <w:rFonts w:ascii="Open Sans" w:hAnsi="Open Sans" w:cs="Open Sans"/>
          <w:b/>
          <w:bCs/>
        </w:rPr>
      </w:pPr>
      <w:r w:rsidRPr="004320F4">
        <w:rPr>
          <w:rFonts w:ascii="Open Sans" w:hAnsi="Open Sans" w:cs="Open Sans"/>
          <w:b/>
          <w:bCs/>
        </w:rPr>
        <w:t xml:space="preserve">III: Civil Penalties </w:t>
      </w:r>
    </w:p>
    <w:p w14:paraId="161F2907" w14:textId="63C81F81" w:rsidR="004320F4" w:rsidRPr="004320F4" w:rsidRDefault="3E027110" w:rsidP="004320F4">
      <w:pPr>
        <w:pStyle w:val="ListParagraph"/>
        <w:numPr>
          <w:ilvl w:val="0"/>
          <w:numId w:val="32"/>
        </w:numPr>
        <w:rPr>
          <w:rFonts w:eastAsiaTheme="minorEastAsia"/>
        </w:rPr>
      </w:pPr>
      <w:r w:rsidRPr="3E027110">
        <w:rPr>
          <w:rFonts w:ascii="Open Sans" w:hAnsi="Open Sans" w:cs="Open Sans"/>
        </w:rPr>
        <w:t xml:space="preserve">Protect would also like to see the new Commission have the power to both fine organisations and individuals where it has been shown they have victimised a </w:t>
      </w:r>
      <w:proofErr w:type="spellStart"/>
      <w:r w:rsidRPr="3E027110">
        <w:rPr>
          <w:rFonts w:ascii="Open Sans" w:hAnsi="Open Sans" w:cs="Open Sans"/>
        </w:rPr>
        <w:t>whistleblower</w:t>
      </w:r>
      <w:proofErr w:type="spellEnd"/>
      <w:r w:rsidRPr="3E027110">
        <w:rPr>
          <w:rFonts w:ascii="Open Sans" w:hAnsi="Open Sans" w:cs="Open Sans"/>
        </w:rPr>
        <w:t xml:space="preserve">, or where they have breached the whistleblowing standards set out by the Commission for employers and regulators. </w:t>
      </w:r>
      <w:r w:rsidRPr="3E027110">
        <w:rPr>
          <w:rFonts w:ascii="Open Sans" w:eastAsia="Open Sans" w:hAnsi="Open Sans" w:cs="Open Sans"/>
        </w:rPr>
        <w:t xml:space="preserve">Protect would like the fines to be linked to an organisation’s turnover. </w:t>
      </w:r>
    </w:p>
    <w:p w14:paraId="45CB73EC" w14:textId="77777777" w:rsidR="00710316" w:rsidRDefault="00710316" w:rsidP="00710316">
      <w:pPr>
        <w:rPr>
          <w:rFonts w:ascii="Open Sans" w:hAnsi="Open Sans" w:cs="Open Sans"/>
        </w:rPr>
      </w:pPr>
    </w:p>
    <w:p w14:paraId="70304DAF" w14:textId="44C06AE2" w:rsidR="00710316" w:rsidRPr="00710316" w:rsidRDefault="00710316" w:rsidP="00710316">
      <w:pPr>
        <w:rPr>
          <w:rFonts w:ascii="Open Sans" w:hAnsi="Open Sans" w:cs="Open Sans"/>
        </w:rPr>
      </w:pPr>
      <w:r w:rsidRPr="00710316">
        <w:rPr>
          <w:rFonts w:ascii="Open Sans" w:hAnsi="Open Sans" w:cs="Open Sans"/>
        </w:rPr>
        <w:t xml:space="preserve">If you would like to discuss any of the issues raised in this briefing in more detail please get in touch with Rhiannon Plimmer-Craig, Parliamentary Officer </w:t>
      </w:r>
      <w:hyperlink r:id="rId17" w:history="1">
        <w:r w:rsidR="003C131A" w:rsidRPr="0040474A">
          <w:rPr>
            <w:rStyle w:val="Hyperlink"/>
            <w:rFonts w:ascii="Open Sans" w:hAnsi="Open Sans" w:cs="Open Sans"/>
          </w:rPr>
          <w:t>rhiannon@protect-advice.org.uk</w:t>
        </w:r>
      </w:hyperlink>
      <w:r w:rsidR="003C131A">
        <w:rPr>
          <w:rFonts w:ascii="Open Sans" w:hAnsi="Open Sans" w:cs="Open Sans"/>
        </w:rPr>
        <w:t xml:space="preserve"> </w:t>
      </w:r>
      <w:r w:rsidRPr="00710316">
        <w:rPr>
          <w:rFonts w:ascii="Open Sans" w:hAnsi="Open Sans" w:cs="Open Sans"/>
        </w:rPr>
        <w:t>or Andrew Pepper-Parsons, Head of Policy</w:t>
      </w:r>
      <w:r w:rsidR="003C131A">
        <w:rPr>
          <w:rFonts w:ascii="Open Sans" w:hAnsi="Open Sans" w:cs="Open Sans"/>
        </w:rPr>
        <w:t xml:space="preserve"> </w:t>
      </w:r>
      <w:hyperlink r:id="rId18" w:history="1">
        <w:r w:rsidR="003C131A" w:rsidRPr="0040474A">
          <w:rPr>
            <w:rStyle w:val="Hyperlink"/>
            <w:rFonts w:ascii="Open Sans" w:hAnsi="Open Sans" w:cs="Open Sans"/>
          </w:rPr>
          <w:t>andrew@protect-advice.org.uk</w:t>
        </w:r>
      </w:hyperlink>
      <w:r w:rsidR="003C131A">
        <w:rPr>
          <w:rFonts w:ascii="Open Sans" w:hAnsi="Open Sans" w:cs="Open Sans"/>
        </w:rPr>
        <w:t xml:space="preserve">. </w:t>
      </w:r>
    </w:p>
    <w:p w14:paraId="64127A58" w14:textId="77777777" w:rsidR="00093DF5" w:rsidRPr="00093DF5" w:rsidRDefault="00093DF5" w:rsidP="00093DF5">
      <w:pPr>
        <w:rPr>
          <w:rFonts w:ascii="Open Sans" w:hAnsi="Open Sans" w:cs="Open Sans"/>
        </w:rPr>
      </w:pPr>
    </w:p>
    <w:sectPr w:rsidR="00093DF5" w:rsidRPr="00093DF5" w:rsidSect="00DE3CE6">
      <w:headerReference w:type="even" r:id="rId19"/>
      <w:headerReference w:type="default" r:id="rId20"/>
      <w:headerReference w:type="first" r:id="rId21"/>
      <w:footerReference w:type="first" r:id="rId22"/>
      <w:pgSz w:w="11906" w:h="16838" w:code="9"/>
      <w:pgMar w:top="1440" w:right="1077" w:bottom="851" w:left="1077" w:header="720" w:footer="85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113A6" w14:textId="77777777" w:rsidR="00B739F2" w:rsidRDefault="00B739F2">
      <w:r>
        <w:separator/>
      </w:r>
    </w:p>
  </w:endnote>
  <w:endnote w:type="continuationSeparator" w:id="0">
    <w:p w14:paraId="3D78C887" w14:textId="77777777" w:rsidR="00B739F2" w:rsidRDefault="00B739F2">
      <w:r>
        <w:continuationSeparator/>
      </w:r>
    </w:p>
  </w:endnote>
  <w:endnote w:type="continuationNotice" w:id="1">
    <w:p w14:paraId="0315E4E7" w14:textId="77777777" w:rsidR="00B739F2" w:rsidRDefault="00B73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ejaVu Sans">
    <w:panose1 w:val="00000000000000000000"/>
    <w:charset w:val="00"/>
    <w:family w:val="roman"/>
    <w:notTrueType/>
    <w:pitch w:val="default"/>
  </w:font>
  <w:font w:name="Lohit Hindi">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7B5016" w:rsidRPr="00C67286" w:rsidRDefault="007B5016">
    <w:pPr>
      <w:pStyle w:val="Footer"/>
      <w:rPr>
        <w:rFonts w:cs="Arial"/>
        <w:b/>
      </w:rPr>
    </w:pPr>
    <w:r w:rsidRPr="003823FF">
      <w:rPr>
        <w:rFonts w:ascii="Trebuchet MS" w:hAnsi="Trebuchet MS"/>
      </w:rPr>
      <w:tab/>
    </w:r>
    <w:r w:rsidRPr="003823FF">
      <w:rPr>
        <w:rFonts w:ascii="Trebuchet MS" w:hAnsi="Trebuchet M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7B01" w14:textId="77777777" w:rsidR="00B739F2" w:rsidRDefault="00B739F2">
      <w:r>
        <w:separator/>
      </w:r>
    </w:p>
  </w:footnote>
  <w:footnote w:type="continuationSeparator" w:id="0">
    <w:p w14:paraId="6EE3B752" w14:textId="77777777" w:rsidR="00B739F2" w:rsidRDefault="00B739F2">
      <w:r>
        <w:continuationSeparator/>
      </w:r>
    </w:p>
  </w:footnote>
  <w:footnote w:type="continuationNotice" w:id="1">
    <w:p w14:paraId="68DC7B86" w14:textId="77777777" w:rsidR="00B739F2" w:rsidRDefault="00B739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7B5016" w:rsidRDefault="007B5016" w:rsidP="00D00D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94D5A5" w14:textId="77777777" w:rsidR="007B5016" w:rsidRDefault="007B5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7B5016" w:rsidRDefault="007B5016" w:rsidP="00D00D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4EAFD9C" w14:textId="77777777" w:rsidR="007B5016" w:rsidRDefault="007B5016" w:rsidP="004F439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E1A4" w14:textId="77777777" w:rsidR="007B5016" w:rsidRDefault="007B5016">
    <w:pPr>
      <w:pStyle w:val="Header"/>
    </w:pPr>
    <w:r>
      <w:rPr>
        <w:noProof/>
      </w:rPr>
      <w:drawing>
        <wp:anchor distT="0" distB="0" distL="114300" distR="114300" simplePos="0" relativeHeight="251658240" behindDoc="1" locked="0" layoutInCell="1" allowOverlap="1" wp14:anchorId="1F5878F2" wp14:editId="07777777">
          <wp:simplePos x="0" y="0"/>
          <wp:positionH relativeFrom="column">
            <wp:posOffset>-683895</wp:posOffset>
          </wp:positionH>
          <wp:positionV relativeFrom="paragraph">
            <wp:posOffset>-444500</wp:posOffset>
          </wp:positionV>
          <wp:extent cx="7581900" cy="107207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20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61E4C" w14:textId="77777777" w:rsidR="007B5016" w:rsidRDefault="007B5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A73"/>
    <w:multiLevelType w:val="hybridMultilevel"/>
    <w:tmpl w:val="31DAFC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C1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2F378B"/>
    <w:multiLevelType w:val="hybridMultilevel"/>
    <w:tmpl w:val="363610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C1C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603392"/>
    <w:multiLevelType w:val="hybridMultilevel"/>
    <w:tmpl w:val="59A227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8B0F9C"/>
    <w:multiLevelType w:val="hybridMultilevel"/>
    <w:tmpl w:val="537EA030"/>
    <w:lvl w:ilvl="0" w:tplc="6A5E0822">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1FE41C54"/>
    <w:multiLevelType w:val="hybridMultilevel"/>
    <w:tmpl w:val="EFD8B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03662"/>
    <w:multiLevelType w:val="hybridMultilevel"/>
    <w:tmpl w:val="08366C0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3442988"/>
    <w:multiLevelType w:val="singleLevel"/>
    <w:tmpl w:val="6DBE7FE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080F72"/>
    <w:multiLevelType w:val="hybridMultilevel"/>
    <w:tmpl w:val="5784B9AC"/>
    <w:lvl w:ilvl="0" w:tplc="9900FB82">
      <w:start w:val="1"/>
      <w:numFmt w:val="decimal"/>
      <w:lvlText w:val="%1."/>
      <w:lvlJc w:val="left"/>
      <w:pPr>
        <w:ind w:left="360" w:hanging="360"/>
      </w:pPr>
      <w:rPr>
        <w:rFonts w:hint="default"/>
        <w:b w:val="0"/>
        <w:bCs w:val="0"/>
        <w:color w:val="auto"/>
      </w:rPr>
    </w:lvl>
    <w:lvl w:ilvl="1" w:tplc="08090019">
      <w:start w:val="1"/>
      <w:numFmt w:val="lowerLetter"/>
      <w:lvlText w:val="%2."/>
      <w:lvlJc w:val="left"/>
      <w:pPr>
        <w:ind w:left="-360" w:hanging="360"/>
      </w:pPr>
    </w:lvl>
    <w:lvl w:ilvl="2" w:tplc="0809000F">
      <w:start w:val="1"/>
      <w:numFmt w:val="decimal"/>
      <w:lvlText w:val="%3."/>
      <w:lvlJc w:val="left"/>
      <w:pPr>
        <w:ind w:left="540" w:hanging="360"/>
      </w:pPr>
    </w:lvl>
    <w:lvl w:ilvl="3" w:tplc="08090017">
      <w:start w:val="1"/>
      <w:numFmt w:val="lowerLetter"/>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10" w15:restartNumberingAfterBreak="0">
    <w:nsid w:val="280D30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FF76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AB66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F0342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8820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79519E"/>
    <w:multiLevelType w:val="multilevel"/>
    <w:tmpl w:val="E4BEEED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44C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435330F"/>
    <w:multiLevelType w:val="hybridMultilevel"/>
    <w:tmpl w:val="AAB69B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2C37AC"/>
    <w:multiLevelType w:val="hybridMultilevel"/>
    <w:tmpl w:val="00A28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C245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EF08F5"/>
    <w:multiLevelType w:val="hybridMultilevel"/>
    <w:tmpl w:val="A61E4ABA"/>
    <w:lvl w:ilvl="0" w:tplc="E8F0D36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862265"/>
    <w:multiLevelType w:val="singleLevel"/>
    <w:tmpl w:val="6DBE7FE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A6F0F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E115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5E1B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EC12769"/>
    <w:multiLevelType w:val="hybridMultilevel"/>
    <w:tmpl w:val="C68CA1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565C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1522F5B"/>
    <w:multiLevelType w:val="multilevel"/>
    <w:tmpl w:val="EE6415C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062F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4651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AF1DA4"/>
    <w:multiLevelType w:val="hybridMultilevel"/>
    <w:tmpl w:val="908024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F4D0669"/>
    <w:multiLevelType w:val="hybridMultilevel"/>
    <w:tmpl w:val="20408A28"/>
    <w:lvl w:ilvl="0" w:tplc="FFCCEA34">
      <w:start w:val="1"/>
      <w:numFmt w:val="bullet"/>
      <w:lvlText w:val=""/>
      <w:lvlJc w:val="left"/>
      <w:pPr>
        <w:tabs>
          <w:tab w:val="num" w:pos="70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5"/>
  </w:num>
  <w:num w:numId="4">
    <w:abstractNumId w:val="27"/>
  </w:num>
  <w:num w:numId="5">
    <w:abstractNumId w:val="10"/>
  </w:num>
  <w:num w:numId="6">
    <w:abstractNumId w:val="16"/>
  </w:num>
  <w:num w:numId="7">
    <w:abstractNumId w:val="23"/>
  </w:num>
  <w:num w:numId="8">
    <w:abstractNumId w:val="11"/>
  </w:num>
  <w:num w:numId="9">
    <w:abstractNumId w:val="29"/>
  </w:num>
  <w:num w:numId="10">
    <w:abstractNumId w:val="3"/>
  </w:num>
  <w:num w:numId="11">
    <w:abstractNumId w:val="1"/>
  </w:num>
  <w:num w:numId="12">
    <w:abstractNumId w:val="12"/>
  </w:num>
  <w:num w:numId="13">
    <w:abstractNumId w:val="21"/>
  </w:num>
  <w:num w:numId="14">
    <w:abstractNumId w:val="8"/>
  </w:num>
  <w:num w:numId="15">
    <w:abstractNumId w:val="28"/>
  </w:num>
  <w:num w:numId="16">
    <w:abstractNumId w:val="26"/>
  </w:num>
  <w:num w:numId="17">
    <w:abstractNumId w:val="22"/>
  </w:num>
  <w:num w:numId="18">
    <w:abstractNumId w:val="24"/>
  </w:num>
  <w:num w:numId="19">
    <w:abstractNumId w:val="19"/>
  </w:num>
  <w:num w:numId="20">
    <w:abstractNumId w:val="31"/>
  </w:num>
  <w:num w:numId="21">
    <w:abstractNumId w:val="17"/>
  </w:num>
  <w:num w:numId="22">
    <w:abstractNumId w:val="20"/>
  </w:num>
  <w:num w:numId="23">
    <w:abstractNumId w:val="4"/>
  </w:num>
  <w:num w:numId="24">
    <w:abstractNumId w:val="6"/>
  </w:num>
  <w:num w:numId="25">
    <w:abstractNumId w:val="30"/>
  </w:num>
  <w:num w:numId="26">
    <w:abstractNumId w:val="18"/>
  </w:num>
  <w:num w:numId="27">
    <w:abstractNumId w:val="0"/>
  </w:num>
  <w:num w:numId="28">
    <w:abstractNumId w:val="25"/>
  </w:num>
  <w:num w:numId="29">
    <w:abstractNumId w:val="2"/>
  </w:num>
  <w:num w:numId="30">
    <w:abstractNumId w:val="7"/>
  </w:num>
  <w:num w:numId="31">
    <w:abstractNumId w:val="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4D"/>
    <w:rsid w:val="00005C58"/>
    <w:rsid w:val="000073CD"/>
    <w:rsid w:val="00013E38"/>
    <w:rsid w:val="00021270"/>
    <w:rsid w:val="00025DD3"/>
    <w:rsid w:val="00030B6B"/>
    <w:rsid w:val="00041451"/>
    <w:rsid w:val="00043A7B"/>
    <w:rsid w:val="00057A67"/>
    <w:rsid w:val="000654BE"/>
    <w:rsid w:val="000732A2"/>
    <w:rsid w:val="00081370"/>
    <w:rsid w:val="000814FB"/>
    <w:rsid w:val="000841DB"/>
    <w:rsid w:val="000845FB"/>
    <w:rsid w:val="00084D14"/>
    <w:rsid w:val="000867F2"/>
    <w:rsid w:val="00086EB2"/>
    <w:rsid w:val="00093DF5"/>
    <w:rsid w:val="000959D8"/>
    <w:rsid w:val="000B183F"/>
    <w:rsid w:val="000C5566"/>
    <w:rsid w:val="000D103F"/>
    <w:rsid w:val="000D292F"/>
    <w:rsid w:val="000D6762"/>
    <w:rsid w:val="000E169E"/>
    <w:rsid w:val="000E6BAB"/>
    <w:rsid w:val="000F0E6A"/>
    <w:rsid w:val="000F17FA"/>
    <w:rsid w:val="000F2F91"/>
    <w:rsid w:val="0011075B"/>
    <w:rsid w:val="00117E48"/>
    <w:rsid w:val="0013537A"/>
    <w:rsid w:val="0013720C"/>
    <w:rsid w:val="00142782"/>
    <w:rsid w:val="00153080"/>
    <w:rsid w:val="001557CD"/>
    <w:rsid w:val="00161493"/>
    <w:rsid w:val="00167A58"/>
    <w:rsid w:val="00174C36"/>
    <w:rsid w:val="00183435"/>
    <w:rsid w:val="00183E41"/>
    <w:rsid w:val="00185784"/>
    <w:rsid w:val="001A29BD"/>
    <w:rsid w:val="001C1BFC"/>
    <w:rsid w:val="001C3715"/>
    <w:rsid w:val="001E0223"/>
    <w:rsid w:val="001E0EC3"/>
    <w:rsid w:val="001F6B9A"/>
    <w:rsid w:val="001F6D07"/>
    <w:rsid w:val="00206534"/>
    <w:rsid w:val="00206C75"/>
    <w:rsid w:val="00214D0B"/>
    <w:rsid w:val="0022288B"/>
    <w:rsid w:val="00225CC1"/>
    <w:rsid w:val="0022658F"/>
    <w:rsid w:val="002352C7"/>
    <w:rsid w:val="0024173A"/>
    <w:rsid w:val="0024211A"/>
    <w:rsid w:val="002436BF"/>
    <w:rsid w:val="002465F0"/>
    <w:rsid w:val="00250635"/>
    <w:rsid w:val="00253E19"/>
    <w:rsid w:val="00261B63"/>
    <w:rsid w:val="00263434"/>
    <w:rsid w:val="00277A03"/>
    <w:rsid w:val="00285A39"/>
    <w:rsid w:val="0028761E"/>
    <w:rsid w:val="002A454E"/>
    <w:rsid w:val="002B6259"/>
    <w:rsid w:val="002C337E"/>
    <w:rsid w:val="002C4E45"/>
    <w:rsid w:val="002D0A05"/>
    <w:rsid w:val="002D45F7"/>
    <w:rsid w:val="002E08C8"/>
    <w:rsid w:val="002F5ED1"/>
    <w:rsid w:val="0032126C"/>
    <w:rsid w:val="00330292"/>
    <w:rsid w:val="00337A58"/>
    <w:rsid w:val="0034576C"/>
    <w:rsid w:val="0035649C"/>
    <w:rsid w:val="003823FF"/>
    <w:rsid w:val="00384E47"/>
    <w:rsid w:val="00387C5A"/>
    <w:rsid w:val="003A53DC"/>
    <w:rsid w:val="003B60C3"/>
    <w:rsid w:val="003C131A"/>
    <w:rsid w:val="003C2B56"/>
    <w:rsid w:val="003C3A67"/>
    <w:rsid w:val="003C4F55"/>
    <w:rsid w:val="003C60E9"/>
    <w:rsid w:val="003C66A4"/>
    <w:rsid w:val="003D7BC7"/>
    <w:rsid w:val="003F3B10"/>
    <w:rsid w:val="00401BA0"/>
    <w:rsid w:val="00427153"/>
    <w:rsid w:val="004320F4"/>
    <w:rsid w:val="00433527"/>
    <w:rsid w:val="00433546"/>
    <w:rsid w:val="0043545A"/>
    <w:rsid w:val="004605E1"/>
    <w:rsid w:val="0047277A"/>
    <w:rsid w:val="00492BD5"/>
    <w:rsid w:val="004948F3"/>
    <w:rsid w:val="004A64FE"/>
    <w:rsid w:val="004C796E"/>
    <w:rsid w:val="004F439C"/>
    <w:rsid w:val="00504F38"/>
    <w:rsid w:val="005078BD"/>
    <w:rsid w:val="00512454"/>
    <w:rsid w:val="00530AFF"/>
    <w:rsid w:val="005331BC"/>
    <w:rsid w:val="005370CE"/>
    <w:rsid w:val="0054284D"/>
    <w:rsid w:val="005510FE"/>
    <w:rsid w:val="00561A59"/>
    <w:rsid w:val="00572E36"/>
    <w:rsid w:val="0058295A"/>
    <w:rsid w:val="00595502"/>
    <w:rsid w:val="005A24D0"/>
    <w:rsid w:val="005B12F1"/>
    <w:rsid w:val="005C2939"/>
    <w:rsid w:val="005D5EF7"/>
    <w:rsid w:val="005D68DA"/>
    <w:rsid w:val="005E356D"/>
    <w:rsid w:val="0060246D"/>
    <w:rsid w:val="00603C92"/>
    <w:rsid w:val="00605BE7"/>
    <w:rsid w:val="006076D2"/>
    <w:rsid w:val="00616B85"/>
    <w:rsid w:val="00621307"/>
    <w:rsid w:val="006307EB"/>
    <w:rsid w:val="00643551"/>
    <w:rsid w:val="0064449C"/>
    <w:rsid w:val="006448FE"/>
    <w:rsid w:val="006508B5"/>
    <w:rsid w:val="00651BD5"/>
    <w:rsid w:val="00654DE8"/>
    <w:rsid w:val="00654FD2"/>
    <w:rsid w:val="006562A6"/>
    <w:rsid w:val="006633CF"/>
    <w:rsid w:val="006679B2"/>
    <w:rsid w:val="006726B1"/>
    <w:rsid w:val="0068551E"/>
    <w:rsid w:val="0069557E"/>
    <w:rsid w:val="006A084C"/>
    <w:rsid w:val="006B2C06"/>
    <w:rsid w:val="006C33CA"/>
    <w:rsid w:val="006D57D0"/>
    <w:rsid w:val="006F07F5"/>
    <w:rsid w:val="006F18EA"/>
    <w:rsid w:val="006F20B8"/>
    <w:rsid w:val="006F29E4"/>
    <w:rsid w:val="006F4396"/>
    <w:rsid w:val="006F7A3B"/>
    <w:rsid w:val="00704BB5"/>
    <w:rsid w:val="00710316"/>
    <w:rsid w:val="00713D44"/>
    <w:rsid w:val="00716392"/>
    <w:rsid w:val="007212B3"/>
    <w:rsid w:val="00723970"/>
    <w:rsid w:val="00733C47"/>
    <w:rsid w:val="00742093"/>
    <w:rsid w:val="007601BD"/>
    <w:rsid w:val="00761898"/>
    <w:rsid w:val="00772E01"/>
    <w:rsid w:val="0077474F"/>
    <w:rsid w:val="00780C43"/>
    <w:rsid w:val="00781F63"/>
    <w:rsid w:val="007845D3"/>
    <w:rsid w:val="00787540"/>
    <w:rsid w:val="007935F4"/>
    <w:rsid w:val="007960F9"/>
    <w:rsid w:val="007A277D"/>
    <w:rsid w:val="007B3FF7"/>
    <w:rsid w:val="007B5016"/>
    <w:rsid w:val="007C27B6"/>
    <w:rsid w:val="007C4F24"/>
    <w:rsid w:val="007C6B99"/>
    <w:rsid w:val="007D7405"/>
    <w:rsid w:val="00806C83"/>
    <w:rsid w:val="00807E66"/>
    <w:rsid w:val="00814352"/>
    <w:rsid w:val="0082168B"/>
    <w:rsid w:val="00823772"/>
    <w:rsid w:val="0082694D"/>
    <w:rsid w:val="0083234A"/>
    <w:rsid w:val="00833298"/>
    <w:rsid w:val="00834283"/>
    <w:rsid w:val="008361C0"/>
    <w:rsid w:val="00841682"/>
    <w:rsid w:val="00856FD8"/>
    <w:rsid w:val="00867A2D"/>
    <w:rsid w:val="00867B4A"/>
    <w:rsid w:val="00877B1E"/>
    <w:rsid w:val="00890195"/>
    <w:rsid w:val="008A167D"/>
    <w:rsid w:val="008A30D8"/>
    <w:rsid w:val="008A52FF"/>
    <w:rsid w:val="008B0437"/>
    <w:rsid w:val="008B181B"/>
    <w:rsid w:val="008B622A"/>
    <w:rsid w:val="008E08C2"/>
    <w:rsid w:val="008F11E3"/>
    <w:rsid w:val="008F2CBB"/>
    <w:rsid w:val="008F68C9"/>
    <w:rsid w:val="00907BF2"/>
    <w:rsid w:val="00921830"/>
    <w:rsid w:val="009229BF"/>
    <w:rsid w:val="009418E7"/>
    <w:rsid w:val="009448EF"/>
    <w:rsid w:val="00946D5E"/>
    <w:rsid w:val="009562A9"/>
    <w:rsid w:val="00961110"/>
    <w:rsid w:val="009617E1"/>
    <w:rsid w:val="00971F3A"/>
    <w:rsid w:val="00975DC3"/>
    <w:rsid w:val="0097625F"/>
    <w:rsid w:val="009837CB"/>
    <w:rsid w:val="0098769A"/>
    <w:rsid w:val="009907AF"/>
    <w:rsid w:val="00997CA2"/>
    <w:rsid w:val="009A08D8"/>
    <w:rsid w:val="009A1803"/>
    <w:rsid w:val="009A29F4"/>
    <w:rsid w:val="009A61FA"/>
    <w:rsid w:val="009D5C29"/>
    <w:rsid w:val="009E4B39"/>
    <w:rsid w:val="009F0DF7"/>
    <w:rsid w:val="009F4CB3"/>
    <w:rsid w:val="00A2534B"/>
    <w:rsid w:val="00A361E1"/>
    <w:rsid w:val="00A40424"/>
    <w:rsid w:val="00A60813"/>
    <w:rsid w:val="00A668AB"/>
    <w:rsid w:val="00A90E4F"/>
    <w:rsid w:val="00A9115C"/>
    <w:rsid w:val="00AA6D85"/>
    <w:rsid w:val="00AA77BF"/>
    <w:rsid w:val="00AB0A14"/>
    <w:rsid w:val="00AC222B"/>
    <w:rsid w:val="00AD4903"/>
    <w:rsid w:val="00AD4DE4"/>
    <w:rsid w:val="00AD54F1"/>
    <w:rsid w:val="00AE11E9"/>
    <w:rsid w:val="00AE732E"/>
    <w:rsid w:val="00AF0F33"/>
    <w:rsid w:val="00AF34E7"/>
    <w:rsid w:val="00B07FEC"/>
    <w:rsid w:val="00B23488"/>
    <w:rsid w:val="00B43D6B"/>
    <w:rsid w:val="00B45D3E"/>
    <w:rsid w:val="00B534B0"/>
    <w:rsid w:val="00B67DD8"/>
    <w:rsid w:val="00B7258D"/>
    <w:rsid w:val="00B739F2"/>
    <w:rsid w:val="00B7479F"/>
    <w:rsid w:val="00B82943"/>
    <w:rsid w:val="00B843BB"/>
    <w:rsid w:val="00BA4F64"/>
    <w:rsid w:val="00BA60D2"/>
    <w:rsid w:val="00BA77A8"/>
    <w:rsid w:val="00BB7F73"/>
    <w:rsid w:val="00BD3081"/>
    <w:rsid w:val="00BD736A"/>
    <w:rsid w:val="00BF4C8D"/>
    <w:rsid w:val="00BF549E"/>
    <w:rsid w:val="00C17D12"/>
    <w:rsid w:val="00C206EB"/>
    <w:rsid w:val="00C2204E"/>
    <w:rsid w:val="00C2576B"/>
    <w:rsid w:val="00C32BE4"/>
    <w:rsid w:val="00C3756C"/>
    <w:rsid w:val="00C41B8D"/>
    <w:rsid w:val="00C4381F"/>
    <w:rsid w:val="00C54767"/>
    <w:rsid w:val="00C67286"/>
    <w:rsid w:val="00C7058C"/>
    <w:rsid w:val="00C7095A"/>
    <w:rsid w:val="00C85D71"/>
    <w:rsid w:val="00C86684"/>
    <w:rsid w:val="00CA2BB7"/>
    <w:rsid w:val="00CB2DBC"/>
    <w:rsid w:val="00CB3249"/>
    <w:rsid w:val="00CD60DF"/>
    <w:rsid w:val="00CE4089"/>
    <w:rsid w:val="00CE42D2"/>
    <w:rsid w:val="00CF07A2"/>
    <w:rsid w:val="00CF27F3"/>
    <w:rsid w:val="00D00DB9"/>
    <w:rsid w:val="00D112F0"/>
    <w:rsid w:val="00D136D1"/>
    <w:rsid w:val="00D24590"/>
    <w:rsid w:val="00D254FD"/>
    <w:rsid w:val="00D316CF"/>
    <w:rsid w:val="00D54A72"/>
    <w:rsid w:val="00D612DB"/>
    <w:rsid w:val="00D61D3B"/>
    <w:rsid w:val="00D6562A"/>
    <w:rsid w:val="00D66782"/>
    <w:rsid w:val="00D71254"/>
    <w:rsid w:val="00D750F0"/>
    <w:rsid w:val="00D802F6"/>
    <w:rsid w:val="00D9349C"/>
    <w:rsid w:val="00D95905"/>
    <w:rsid w:val="00DB72AE"/>
    <w:rsid w:val="00DB7B8E"/>
    <w:rsid w:val="00DC0C31"/>
    <w:rsid w:val="00DC12A0"/>
    <w:rsid w:val="00DC4689"/>
    <w:rsid w:val="00DD16B8"/>
    <w:rsid w:val="00DE3CE6"/>
    <w:rsid w:val="00DE4406"/>
    <w:rsid w:val="00DF6A16"/>
    <w:rsid w:val="00E06256"/>
    <w:rsid w:val="00E34B9E"/>
    <w:rsid w:val="00E40BB1"/>
    <w:rsid w:val="00E603E0"/>
    <w:rsid w:val="00E704C3"/>
    <w:rsid w:val="00E72B63"/>
    <w:rsid w:val="00E805F0"/>
    <w:rsid w:val="00E83B56"/>
    <w:rsid w:val="00E8585A"/>
    <w:rsid w:val="00E91FB5"/>
    <w:rsid w:val="00E93317"/>
    <w:rsid w:val="00EB14F6"/>
    <w:rsid w:val="00EB1FB5"/>
    <w:rsid w:val="00EB41E1"/>
    <w:rsid w:val="00EB4B56"/>
    <w:rsid w:val="00EB6078"/>
    <w:rsid w:val="00EC4798"/>
    <w:rsid w:val="00EC60E6"/>
    <w:rsid w:val="00EF2152"/>
    <w:rsid w:val="00F062EE"/>
    <w:rsid w:val="00F07E52"/>
    <w:rsid w:val="00F13F1D"/>
    <w:rsid w:val="00F20D1C"/>
    <w:rsid w:val="00F26498"/>
    <w:rsid w:val="00F35F04"/>
    <w:rsid w:val="00F40BC6"/>
    <w:rsid w:val="00F43EFE"/>
    <w:rsid w:val="00F4570A"/>
    <w:rsid w:val="00F53018"/>
    <w:rsid w:val="00F6269C"/>
    <w:rsid w:val="00F967BD"/>
    <w:rsid w:val="00F96A81"/>
    <w:rsid w:val="00FA1687"/>
    <w:rsid w:val="00FA17B4"/>
    <w:rsid w:val="00FA5D40"/>
    <w:rsid w:val="00FB4ED9"/>
    <w:rsid w:val="00FC2494"/>
    <w:rsid w:val="00FC537E"/>
    <w:rsid w:val="00FD0C2A"/>
    <w:rsid w:val="00FD1BB9"/>
    <w:rsid w:val="00FF1F69"/>
    <w:rsid w:val="00FF324F"/>
    <w:rsid w:val="00FF5058"/>
    <w:rsid w:val="00FF7B71"/>
    <w:rsid w:val="040E69C2"/>
    <w:rsid w:val="10BABBF6"/>
    <w:rsid w:val="11B8C137"/>
    <w:rsid w:val="15050984"/>
    <w:rsid w:val="1D8D04A8"/>
    <w:rsid w:val="23DE67C1"/>
    <w:rsid w:val="24EC8C42"/>
    <w:rsid w:val="28251930"/>
    <w:rsid w:val="3470FBAB"/>
    <w:rsid w:val="3696DD54"/>
    <w:rsid w:val="393FB660"/>
    <w:rsid w:val="3E027110"/>
    <w:rsid w:val="401F4BD6"/>
    <w:rsid w:val="41EA0CC6"/>
    <w:rsid w:val="4521394D"/>
    <w:rsid w:val="500C2CC6"/>
    <w:rsid w:val="52397B53"/>
    <w:rsid w:val="57B29CFB"/>
    <w:rsid w:val="5C81AD6C"/>
    <w:rsid w:val="5D06EEFA"/>
    <w:rsid w:val="5ECD78C1"/>
    <w:rsid w:val="65DFEACF"/>
    <w:rsid w:val="664510BA"/>
    <w:rsid w:val="6E8E4892"/>
    <w:rsid w:val="75E068C6"/>
    <w:rsid w:val="79FF0383"/>
    <w:rsid w:val="7A2D8631"/>
    <w:rsid w:val="7D76A919"/>
    <w:rsid w:val="7D81DC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3D6C34"/>
  <w15:chartTrackingRefBased/>
  <w15:docId w15:val="{D1EE2FB2-BF2C-4B89-A5E6-2A7C9544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right"/>
      <w:outlineLvl w:val="3"/>
    </w:pPr>
    <w:rPr>
      <w:u w:val="single"/>
    </w:rPr>
  </w:style>
  <w:style w:type="paragraph" w:styleId="Heading5">
    <w:name w:val="heading 5"/>
    <w:basedOn w:val="Normal"/>
    <w:next w:val="Normal"/>
    <w:qFormat/>
    <w:pPr>
      <w:keepNext/>
      <w:spacing w:line="360" w:lineRule="auto"/>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lockText">
    <w:name w:val="Block Text"/>
    <w:basedOn w:val="Normal"/>
    <w:pPr>
      <w:pBdr>
        <w:top w:val="single" w:sz="24" w:space="5" w:color="auto"/>
        <w:left w:val="single" w:sz="24" w:space="7" w:color="auto"/>
        <w:bottom w:val="single" w:sz="24" w:space="5" w:color="auto"/>
        <w:right w:val="single" w:sz="24" w:space="7" w:color="auto"/>
      </w:pBdr>
      <w:ind w:left="851" w:right="1021"/>
      <w:jc w:val="both"/>
    </w:p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2">
    <w:name w:val="Body Text 2"/>
    <w:basedOn w:val="Normal"/>
    <w:rPr>
      <w:u w:val="single"/>
    </w:rPr>
  </w:style>
  <w:style w:type="paragraph" w:styleId="Header">
    <w:name w:val="header"/>
    <w:basedOn w:val="Normal"/>
    <w:link w:val="HeaderChar"/>
    <w:uiPriority w:val="99"/>
    <w:rsid w:val="004F439C"/>
    <w:pPr>
      <w:tabs>
        <w:tab w:val="center" w:pos="4320"/>
        <w:tab w:val="right" w:pos="8640"/>
      </w:tabs>
    </w:pPr>
  </w:style>
  <w:style w:type="paragraph" w:styleId="Footer">
    <w:name w:val="footer"/>
    <w:basedOn w:val="Normal"/>
    <w:rsid w:val="004F439C"/>
    <w:pPr>
      <w:tabs>
        <w:tab w:val="center" w:pos="4320"/>
        <w:tab w:val="right" w:pos="8640"/>
      </w:tabs>
    </w:pPr>
  </w:style>
  <w:style w:type="character" w:styleId="PageNumber">
    <w:name w:val="page number"/>
    <w:basedOn w:val="DefaultParagraphFont"/>
    <w:rsid w:val="004F439C"/>
  </w:style>
  <w:style w:type="paragraph" w:styleId="BalloonText">
    <w:name w:val="Balloon Text"/>
    <w:basedOn w:val="Normal"/>
    <w:semiHidden/>
    <w:rsid w:val="00DF6A16"/>
    <w:rPr>
      <w:rFonts w:ascii="Tahoma" w:hAnsi="Tahoma" w:cs="Tahoma"/>
      <w:sz w:val="16"/>
      <w:szCs w:val="16"/>
    </w:rPr>
  </w:style>
  <w:style w:type="paragraph" w:styleId="NormalWeb">
    <w:name w:val="Normal (Web)"/>
    <w:basedOn w:val="Normal"/>
    <w:uiPriority w:val="99"/>
    <w:rsid w:val="005C2939"/>
    <w:pPr>
      <w:spacing w:before="100" w:beforeAutospacing="1" w:after="100" w:afterAutospacing="1"/>
    </w:pPr>
    <w:rPr>
      <w:rFonts w:ascii="Times New Roman" w:hAnsi="Times New Roman"/>
      <w:color w:val="000000"/>
      <w:sz w:val="24"/>
      <w:szCs w:val="24"/>
      <w:lang w:val="en-US"/>
    </w:rPr>
  </w:style>
  <w:style w:type="character" w:customStyle="1" w:styleId="HeaderChar">
    <w:name w:val="Header Char"/>
    <w:link w:val="Header"/>
    <w:uiPriority w:val="99"/>
    <w:rsid w:val="00384E47"/>
    <w:rPr>
      <w:rFonts w:ascii="Arial" w:hAnsi="Arial"/>
      <w:sz w:val="22"/>
      <w:lang w:eastAsia="en-US"/>
    </w:rPr>
  </w:style>
  <w:style w:type="character" w:styleId="UnresolvedMention">
    <w:name w:val="Unresolved Mention"/>
    <w:uiPriority w:val="99"/>
    <w:semiHidden/>
    <w:unhideWhenUsed/>
    <w:rsid w:val="00DC0C31"/>
    <w:rPr>
      <w:color w:val="605E5C"/>
      <w:shd w:val="clear" w:color="auto" w:fill="E1DFDD"/>
    </w:rPr>
  </w:style>
  <w:style w:type="paragraph" w:styleId="PlainText">
    <w:name w:val="Plain Text"/>
    <w:basedOn w:val="Normal"/>
    <w:link w:val="PlainTextChar"/>
    <w:uiPriority w:val="99"/>
    <w:unhideWhenUsed/>
    <w:rsid w:val="00DE3CE6"/>
    <w:rPr>
      <w:rFonts w:ascii="Calibri" w:hAnsi="Calibri"/>
      <w:szCs w:val="21"/>
      <w:lang w:eastAsia="en-GB"/>
    </w:rPr>
  </w:style>
  <w:style w:type="character" w:customStyle="1" w:styleId="PlainTextChar">
    <w:name w:val="Plain Text Char"/>
    <w:link w:val="PlainText"/>
    <w:uiPriority w:val="99"/>
    <w:rsid w:val="00DE3CE6"/>
    <w:rPr>
      <w:rFonts w:ascii="Calibri" w:hAnsi="Calibri"/>
      <w:sz w:val="22"/>
      <w:szCs w:val="21"/>
    </w:rPr>
  </w:style>
  <w:style w:type="paragraph" w:styleId="NoSpacing">
    <w:name w:val="No Spacing"/>
    <w:uiPriority w:val="1"/>
    <w:qFormat/>
    <w:rsid w:val="00DE3CE6"/>
    <w:rPr>
      <w:rFonts w:ascii="Times" w:eastAsia="Times" w:hAnsi="Times"/>
      <w:noProof/>
      <w:sz w:val="24"/>
      <w:lang w:eastAsia="en-US"/>
    </w:rPr>
  </w:style>
  <w:style w:type="paragraph" w:customStyle="1" w:styleId="DefaultStyle">
    <w:name w:val="Default Style"/>
    <w:rsid w:val="00DC4689"/>
    <w:pPr>
      <w:widowControl w:val="0"/>
      <w:suppressAutoHyphens/>
      <w:spacing w:after="200" w:line="276" w:lineRule="auto"/>
    </w:pPr>
    <w:rPr>
      <w:rFonts w:eastAsia="DejaVu Sans" w:cs="Lohit Hindi"/>
      <w:sz w:val="24"/>
      <w:szCs w:val="24"/>
      <w:lang w:val="en-US" w:eastAsia="zh-CN" w:bidi="hi-IN"/>
    </w:rPr>
  </w:style>
  <w:style w:type="character" w:styleId="CommentReference">
    <w:name w:val="annotation reference"/>
    <w:uiPriority w:val="99"/>
    <w:unhideWhenUsed/>
    <w:rsid w:val="0032126C"/>
    <w:rPr>
      <w:sz w:val="16"/>
      <w:szCs w:val="16"/>
    </w:rPr>
  </w:style>
  <w:style w:type="paragraph" w:styleId="CommentText">
    <w:name w:val="annotation text"/>
    <w:basedOn w:val="Normal"/>
    <w:link w:val="CommentTextChar"/>
    <w:uiPriority w:val="99"/>
    <w:unhideWhenUsed/>
    <w:rsid w:val="0032126C"/>
    <w:pPr>
      <w:spacing w:after="160"/>
    </w:pPr>
    <w:rPr>
      <w:rFonts w:ascii="Calibri" w:eastAsia="Calibri" w:hAnsi="Calibri"/>
      <w:sz w:val="20"/>
    </w:rPr>
  </w:style>
  <w:style w:type="character" w:customStyle="1" w:styleId="CommentTextChar">
    <w:name w:val="Comment Text Char"/>
    <w:link w:val="CommentText"/>
    <w:uiPriority w:val="99"/>
    <w:rsid w:val="0032126C"/>
    <w:rPr>
      <w:rFonts w:ascii="Calibri" w:eastAsia="Calibri" w:hAnsi="Calibri"/>
      <w:lang w:eastAsia="en-US"/>
    </w:rPr>
  </w:style>
  <w:style w:type="character" w:styleId="FollowedHyperlink">
    <w:name w:val="FollowedHyperlink"/>
    <w:basedOn w:val="DefaultParagraphFont"/>
    <w:rsid w:val="0077474F"/>
    <w:rPr>
      <w:color w:val="954F72" w:themeColor="followedHyperlink"/>
      <w:u w:val="single"/>
    </w:rPr>
  </w:style>
  <w:style w:type="paragraph" w:styleId="ListParagraph">
    <w:name w:val="List Paragraph"/>
    <w:basedOn w:val="Normal"/>
    <w:uiPriority w:val="34"/>
    <w:qFormat/>
    <w:rsid w:val="002436BF"/>
    <w:pPr>
      <w:spacing w:after="160" w:line="259" w:lineRule="auto"/>
      <w:ind w:left="720"/>
      <w:contextualSpacing/>
    </w:pPr>
    <w:rPr>
      <w:rFonts w:asciiTheme="minorHAnsi" w:eastAsiaTheme="minorHAnsi" w:hAnsiTheme="minorHAnsi" w:cstheme="minorBidi"/>
      <w:szCs w:val="22"/>
    </w:rPr>
  </w:style>
  <w:style w:type="character" w:customStyle="1" w:styleId="FootnoteTextChar">
    <w:name w:val="Footnote Text Char"/>
    <w:basedOn w:val="DefaultParagraphFont"/>
    <w:link w:val="FootnoteText"/>
    <w:uiPriority w:val="99"/>
    <w:semiHidden/>
    <w:rsid w:val="002436B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54507">
      <w:bodyDiv w:val="1"/>
      <w:marLeft w:val="0"/>
      <w:marRight w:val="0"/>
      <w:marTop w:val="0"/>
      <w:marBottom w:val="0"/>
      <w:divBdr>
        <w:top w:val="none" w:sz="0" w:space="0" w:color="auto"/>
        <w:left w:val="none" w:sz="0" w:space="0" w:color="auto"/>
        <w:bottom w:val="none" w:sz="0" w:space="0" w:color="auto"/>
        <w:right w:val="none" w:sz="0" w:space="0" w:color="auto"/>
      </w:divBdr>
      <w:divsChild>
        <w:div w:id="758260802">
          <w:marLeft w:val="0"/>
          <w:marRight w:val="0"/>
          <w:marTop w:val="0"/>
          <w:marBottom w:val="0"/>
          <w:divBdr>
            <w:top w:val="none" w:sz="0" w:space="0" w:color="auto"/>
            <w:left w:val="none" w:sz="0" w:space="0" w:color="auto"/>
            <w:bottom w:val="none" w:sz="0" w:space="0" w:color="auto"/>
            <w:right w:val="none" w:sz="0" w:space="0" w:color="auto"/>
          </w:divBdr>
        </w:div>
        <w:div w:id="961569096">
          <w:marLeft w:val="0"/>
          <w:marRight w:val="0"/>
          <w:marTop w:val="0"/>
          <w:marBottom w:val="0"/>
          <w:divBdr>
            <w:top w:val="none" w:sz="0" w:space="0" w:color="auto"/>
            <w:left w:val="none" w:sz="0" w:space="0" w:color="auto"/>
            <w:bottom w:val="none" w:sz="0" w:space="0" w:color="auto"/>
            <w:right w:val="none" w:sz="0" w:space="0" w:color="auto"/>
          </w:divBdr>
        </w:div>
      </w:divsChild>
    </w:div>
    <w:div w:id="508057882">
      <w:bodyDiv w:val="1"/>
      <w:marLeft w:val="0"/>
      <w:marRight w:val="0"/>
      <w:marTop w:val="0"/>
      <w:marBottom w:val="0"/>
      <w:divBdr>
        <w:top w:val="none" w:sz="0" w:space="0" w:color="auto"/>
        <w:left w:val="none" w:sz="0" w:space="0" w:color="auto"/>
        <w:bottom w:val="none" w:sz="0" w:space="0" w:color="auto"/>
        <w:right w:val="none" w:sz="0" w:space="0" w:color="auto"/>
      </w:divBdr>
      <w:divsChild>
        <w:div w:id="635260841">
          <w:marLeft w:val="0"/>
          <w:marRight w:val="0"/>
          <w:marTop w:val="0"/>
          <w:marBottom w:val="0"/>
          <w:divBdr>
            <w:top w:val="none" w:sz="0" w:space="0" w:color="auto"/>
            <w:left w:val="none" w:sz="0" w:space="0" w:color="auto"/>
            <w:bottom w:val="none" w:sz="0" w:space="0" w:color="auto"/>
            <w:right w:val="none" w:sz="0" w:space="0" w:color="auto"/>
          </w:divBdr>
        </w:div>
        <w:div w:id="893656687">
          <w:marLeft w:val="0"/>
          <w:marRight w:val="0"/>
          <w:marTop w:val="0"/>
          <w:marBottom w:val="0"/>
          <w:divBdr>
            <w:top w:val="none" w:sz="0" w:space="0" w:color="auto"/>
            <w:left w:val="none" w:sz="0" w:space="0" w:color="auto"/>
            <w:bottom w:val="none" w:sz="0" w:space="0" w:color="auto"/>
            <w:right w:val="none" w:sz="0" w:space="0" w:color="auto"/>
          </w:divBdr>
        </w:div>
      </w:divsChild>
    </w:div>
    <w:div w:id="1093630917">
      <w:bodyDiv w:val="1"/>
      <w:marLeft w:val="0"/>
      <w:marRight w:val="0"/>
      <w:marTop w:val="0"/>
      <w:marBottom w:val="0"/>
      <w:divBdr>
        <w:top w:val="none" w:sz="0" w:space="0" w:color="auto"/>
        <w:left w:val="none" w:sz="0" w:space="0" w:color="auto"/>
        <w:bottom w:val="none" w:sz="0" w:space="0" w:color="auto"/>
        <w:right w:val="none" w:sz="0" w:space="0" w:color="auto"/>
      </w:divBdr>
    </w:div>
    <w:div w:id="1489398840">
      <w:bodyDiv w:val="1"/>
      <w:marLeft w:val="0"/>
      <w:marRight w:val="0"/>
      <w:marTop w:val="0"/>
      <w:marBottom w:val="0"/>
      <w:divBdr>
        <w:top w:val="none" w:sz="0" w:space="0" w:color="auto"/>
        <w:left w:val="none" w:sz="0" w:space="0" w:color="auto"/>
        <w:bottom w:val="none" w:sz="0" w:space="0" w:color="auto"/>
        <w:right w:val="none" w:sz="0" w:space="0" w:color="auto"/>
      </w:divBdr>
      <w:divsChild>
        <w:div w:id="937835493">
          <w:marLeft w:val="0"/>
          <w:marRight w:val="0"/>
          <w:marTop w:val="0"/>
          <w:marBottom w:val="0"/>
          <w:divBdr>
            <w:top w:val="none" w:sz="0" w:space="0" w:color="auto"/>
            <w:left w:val="none" w:sz="0" w:space="0" w:color="auto"/>
            <w:bottom w:val="none" w:sz="0" w:space="0" w:color="auto"/>
            <w:right w:val="none" w:sz="0" w:space="0" w:color="auto"/>
          </w:divBdr>
        </w:div>
        <w:div w:id="1110079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fo.gov.uk/download/annual-report-on-whistleblowing-disclosures-2020-2021/" TargetMode="External"/><Relationship Id="rId18" Type="http://schemas.openxmlformats.org/officeDocument/2006/relationships/hyperlink" Target="mailto:andrew@protect-advice.org.uk"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fca.org.uk/publication/annual-reports/annual-report-2020-21.pdf" TargetMode="External"/><Relationship Id="rId17" Type="http://schemas.openxmlformats.org/officeDocument/2006/relationships/hyperlink" Target="mailto:rhiannon@protect-advice.org.uk" TargetMode="External"/><Relationship Id="rId2" Type="http://schemas.openxmlformats.org/officeDocument/2006/relationships/customXml" Target="../customXml/item2.xml"/><Relationship Id="rId16" Type="http://schemas.openxmlformats.org/officeDocument/2006/relationships/hyperlink" Target="https://protect-advice.org.uk/the-public-and-whistleblowing-2021-resear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fe.com/report-to-the-nations/202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rotect-advice.org.uk/silence-in-the-city-2/" TargetMode="External"/><Relationship Id="rId23" Type="http://schemas.openxmlformats.org/officeDocument/2006/relationships/fontTable" Target="fontTable.xml"/><Relationship Id="rId10" Type="http://schemas.openxmlformats.org/officeDocument/2006/relationships/hyperlink" Target="https://www.bing.com/search?q=whistleblower+Jonathan+Taylor&amp;cvid=1dc2b44823b5416694f7cc96cfed981f&amp;aqs=edge..69i57.1327j0j1&amp;FORM=ANAB01&amp;PC=DCT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mittees.parliament.uk/publications/8691/documents/88242/default/"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C7A4FE963FD8A4D8C30D01003A4E343" ma:contentTypeVersion="13" ma:contentTypeDescription="Create a new document." ma:contentTypeScope="" ma:versionID="b009c2121971fac67b434958a721816b">
  <xsd:schema xmlns:xsd="http://www.w3.org/2001/XMLSchema" xmlns:xs="http://www.w3.org/2001/XMLSchema" xmlns:p="http://schemas.microsoft.com/office/2006/metadata/properties" xmlns:ns2="8a4173e5-a8fd-4450-9b18-fa80ffd0b82d" xmlns:ns3="82ce42af-57c3-402b-8533-a9806dbbb887" targetNamespace="http://schemas.microsoft.com/office/2006/metadata/properties" ma:root="true" ma:fieldsID="745093dfd644e2a110dd401c43f6a4e2" ns2:_="" ns3:_="">
    <xsd:import namespace="8a4173e5-a8fd-4450-9b18-fa80ffd0b82d"/>
    <xsd:import namespace="82ce42af-57c3-402b-8533-a9806dbbb8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173e5-a8fd-4450-9b18-fa80ffd0b8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ce42af-57c3-402b-8533-a9806dbbb8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6BAA35-3288-4198-AA9C-ABE33A2CFF24}">
  <ds:schemaRefs>
    <ds:schemaRef ds:uri="http://schemas.microsoft.com/sharepoint/v3/contenttype/forms"/>
  </ds:schemaRefs>
</ds:datastoreItem>
</file>

<file path=customXml/itemProps2.xml><?xml version="1.0" encoding="utf-8"?>
<ds:datastoreItem xmlns:ds="http://schemas.openxmlformats.org/officeDocument/2006/customXml" ds:itemID="{586E6E73-4D70-47C0-B2A0-A8ADA30BEF10}">
  <ds:schemaRefs>
    <ds:schemaRef ds:uri="http://schemas.openxmlformats.org/officeDocument/2006/bibliography"/>
  </ds:schemaRefs>
</ds:datastoreItem>
</file>

<file path=customXml/itemProps3.xml><?xml version="1.0" encoding="utf-8"?>
<ds:datastoreItem xmlns:ds="http://schemas.openxmlformats.org/officeDocument/2006/customXml" ds:itemID="{08002393-6348-4069-8692-86280D41D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173e5-a8fd-4450-9b18-fa80ffd0b82d"/>
    <ds:schemaRef ds:uri="82ce42af-57c3-402b-8533-a9806dbbb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1104</Words>
  <Characters>7044</Characters>
  <Application>Microsoft Office Word</Application>
  <DocSecurity>0</DocSecurity>
  <Lines>128</Lines>
  <Paragraphs>49</Paragraphs>
  <ScaleCrop>false</ScaleCrop>
  <HeadingPairs>
    <vt:vector size="2" baseType="variant">
      <vt:variant>
        <vt:lpstr>Title</vt:lpstr>
      </vt:variant>
      <vt:variant>
        <vt:i4>1</vt:i4>
      </vt:variant>
    </vt:vector>
  </HeadingPairs>
  <TitlesOfParts>
    <vt:vector size="1" baseType="lpstr">
      <vt:lpstr>email logo</vt:lpstr>
    </vt:vector>
  </TitlesOfParts>
  <Company>PCaW</Company>
  <LinksUpToDate>false</LinksUpToDate>
  <CharactersWithSpaces>8099</CharactersWithSpaces>
  <SharedDoc>false</SharedDoc>
  <HLinks>
    <vt:vector size="54" baseType="variant">
      <vt:variant>
        <vt:i4>2031657</vt:i4>
      </vt:variant>
      <vt:variant>
        <vt:i4>24</vt:i4>
      </vt:variant>
      <vt:variant>
        <vt:i4>0</vt:i4>
      </vt:variant>
      <vt:variant>
        <vt:i4>5</vt:i4>
      </vt:variant>
      <vt:variant>
        <vt:lpwstr>mailto:andrew@protect-advice.org.uk</vt:lpwstr>
      </vt:variant>
      <vt:variant>
        <vt:lpwstr/>
      </vt:variant>
      <vt:variant>
        <vt:i4>6619211</vt:i4>
      </vt:variant>
      <vt:variant>
        <vt:i4>21</vt:i4>
      </vt:variant>
      <vt:variant>
        <vt:i4>0</vt:i4>
      </vt:variant>
      <vt:variant>
        <vt:i4>5</vt:i4>
      </vt:variant>
      <vt:variant>
        <vt:lpwstr>mailto:rhiannon@protect-advice.org.uk</vt:lpwstr>
      </vt:variant>
      <vt:variant>
        <vt:lpwstr/>
      </vt:variant>
      <vt:variant>
        <vt:i4>2293860</vt:i4>
      </vt:variant>
      <vt:variant>
        <vt:i4>18</vt:i4>
      </vt:variant>
      <vt:variant>
        <vt:i4>0</vt:i4>
      </vt:variant>
      <vt:variant>
        <vt:i4>5</vt:i4>
      </vt:variant>
      <vt:variant>
        <vt:lpwstr>https://protect-advice.org.uk/the-public-and-whistleblowing-2021-research/</vt:lpwstr>
      </vt:variant>
      <vt:variant>
        <vt:lpwstr/>
      </vt:variant>
      <vt:variant>
        <vt:i4>4915220</vt:i4>
      </vt:variant>
      <vt:variant>
        <vt:i4>15</vt:i4>
      </vt:variant>
      <vt:variant>
        <vt:i4>0</vt:i4>
      </vt:variant>
      <vt:variant>
        <vt:i4>5</vt:i4>
      </vt:variant>
      <vt:variant>
        <vt:lpwstr>https://protect-advice.org.uk/silence-in-the-city-2/</vt:lpwstr>
      </vt:variant>
      <vt:variant>
        <vt:lpwstr/>
      </vt:variant>
      <vt:variant>
        <vt:i4>2424940</vt:i4>
      </vt:variant>
      <vt:variant>
        <vt:i4>12</vt:i4>
      </vt:variant>
      <vt:variant>
        <vt:i4>0</vt:i4>
      </vt:variant>
      <vt:variant>
        <vt:i4>5</vt:i4>
      </vt:variant>
      <vt:variant>
        <vt:lpwstr>https://committees.parliament.uk/publications/8691/documents/88242/default/</vt:lpwstr>
      </vt:variant>
      <vt:variant>
        <vt:lpwstr/>
      </vt:variant>
      <vt:variant>
        <vt:i4>8323123</vt:i4>
      </vt:variant>
      <vt:variant>
        <vt:i4>9</vt:i4>
      </vt:variant>
      <vt:variant>
        <vt:i4>0</vt:i4>
      </vt:variant>
      <vt:variant>
        <vt:i4>5</vt:i4>
      </vt:variant>
      <vt:variant>
        <vt:lpwstr>https://www.sfo.gov.uk/download/annual-report-on-whistleblowing-disclosures-2020-2021/</vt:lpwstr>
      </vt:variant>
      <vt:variant>
        <vt:lpwstr/>
      </vt:variant>
      <vt:variant>
        <vt:i4>7274622</vt:i4>
      </vt:variant>
      <vt:variant>
        <vt:i4>6</vt:i4>
      </vt:variant>
      <vt:variant>
        <vt:i4>0</vt:i4>
      </vt:variant>
      <vt:variant>
        <vt:i4>5</vt:i4>
      </vt:variant>
      <vt:variant>
        <vt:lpwstr>https://www.fca.org.uk/publication/annual-reports/annual-report-2020-21.pdf</vt:lpwstr>
      </vt:variant>
      <vt:variant>
        <vt:lpwstr/>
      </vt:variant>
      <vt:variant>
        <vt:i4>4849666</vt:i4>
      </vt:variant>
      <vt:variant>
        <vt:i4>3</vt:i4>
      </vt:variant>
      <vt:variant>
        <vt:i4>0</vt:i4>
      </vt:variant>
      <vt:variant>
        <vt:i4>5</vt:i4>
      </vt:variant>
      <vt:variant>
        <vt:lpwstr>https://www.acfe.com/report-to-the-nations/2020/</vt:lpwstr>
      </vt:variant>
      <vt:variant>
        <vt:lpwstr/>
      </vt:variant>
      <vt:variant>
        <vt:i4>2556029</vt:i4>
      </vt:variant>
      <vt:variant>
        <vt:i4>0</vt:i4>
      </vt:variant>
      <vt:variant>
        <vt:i4>0</vt:i4>
      </vt:variant>
      <vt:variant>
        <vt:i4>5</vt:i4>
      </vt:variant>
      <vt:variant>
        <vt:lpwstr>https://www.bing.com/search?q=whistleblower+Jonathan+Taylor&amp;cvid=1dc2b44823b5416694f7cc96cfed981f&amp;aqs=edge..69i57.1327j0j1&amp;FORM=ANAB01&amp;PC=DCTS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logo</dc:title>
  <dc:subject/>
  <dc:creator>Guy Dehn</dc:creator>
  <cp:keywords/>
  <cp:lastModifiedBy>Rhiannon Plimmer-Craig</cp:lastModifiedBy>
  <cp:revision>92</cp:revision>
  <cp:lastPrinted>2018-12-14T04:41:00Z</cp:lastPrinted>
  <dcterms:created xsi:type="dcterms:W3CDTF">2022-03-04T11:18:00Z</dcterms:created>
  <dcterms:modified xsi:type="dcterms:W3CDTF">2022-03-04T15:38:00Z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0x010100EC7A4FE963FD8A4D8C30D01003A4E343</vt:lpwstr>
  </property>
</Properties>
</file>