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CA20" w14:textId="5AB36D98" w:rsidR="00C439A3" w:rsidRDefault="00AC2BC7" w:rsidP="00AC2BC7">
      <w:pPr>
        <w:jc w:val="center"/>
      </w:pPr>
      <w:r w:rsidRPr="00AC2BC7">
        <w:rPr>
          <w:noProof/>
        </w:rPr>
        <w:drawing>
          <wp:inline distT="0" distB="0" distL="0" distR="0" wp14:anchorId="3080461F" wp14:editId="09BB5242">
            <wp:extent cx="969010" cy="960120"/>
            <wp:effectExtent l="0" t="0" r="2540" b="0"/>
            <wp:docPr id="1706672607" name="Picture 1"/>
            <wp:cNvGraphicFramePr/>
            <a:graphic xmlns:a="http://schemas.openxmlformats.org/drawingml/2006/main">
              <a:graphicData uri="http://schemas.openxmlformats.org/drawingml/2006/picture">
                <pic:pic xmlns:pic="http://schemas.openxmlformats.org/drawingml/2006/picture">
                  <pic:nvPicPr>
                    <pic:cNvPr id="170667260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06463BA7" w14:textId="77777777" w:rsidR="00AC2BC7" w:rsidRDefault="00AC2BC7" w:rsidP="001D7F94">
      <w:pPr>
        <w:jc w:val="right"/>
      </w:pPr>
    </w:p>
    <w:p w14:paraId="38511E3E" w14:textId="182A1CA6" w:rsidR="00C439A3" w:rsidRDefault="00C439A3" w:rsidP="001D7F94">
      <w:pPr>
        <w:pStyle w:val="CoverText"/>
        <w:jc w:val="left"/>
        <w:rPr>
          <w:bCs/>
          <w:sz w:val="20"/>
          <w:u w:val="none"/>
        </w:rPr>
      </w:pPr>
      <w:r>
        <w:rPr>
          <w:bCs/>
        </w:rPr>
        <w:t xml:space="preserve">Neutral Citation Number: </w:t>
      </w:r>
      <w:r w:rsidR="00AC2BC7">
        <w:rPr>
          <w:bCs/>
        </w:rPr>
        <w:t xml:space="preserve">[2025] EWCA </w:t>
      </w:r>
      <w:proofErr w:type="spellStart"/>
      <w:r w:rsidR="00AC2BC7">
        <w:rPr>
          <w:bCs/>
        </w:rPr>
        <w:t>Civ</w:t>
      </w:r>
      <w:proofErr w:type="spellEnd"/>
      <w:r w:rsidR="00AC2BC7">
        <w:rPr>
          <w:bCs/>
        </w:rPr>
        <w:t xml:space="preserve"> 1466</w:t>
      </w:r>
      <w:r>
        <w:rPr>
          <w:bCs/>
        </w:rPr>
        <w:br/>
      </w:r>
    </w:p>
    <w:p w14:paraId="1B020A97" w14:textId="0FC9851B" w:rsidR="00C439A3" w:rsidRDefault="00C439A3" w:rsidP="001D7F94">
      <w:pPr>
        <w:pStyle w:val="CoverText"/>
      </w:pPr>
      <w:r>
        <w:t>Case No</w:t>
      </w:r>
      <w:r w:rsidR="00FB4BCF">
        <w:t>s</w:t>
      </w:r>
      <w:r>
        <w:t xml:space="preserve">: </w:t>
      </w:r>
      <w:r w:rsidR="006D4224">
        <w:t>CA-</w:t>
      </w:r>
      <w:r w:rsidR="00F1720C">
        <w:t>2024-000736</w:t>
      </w:r>
      <w:r w:rsidR="00EF1902">
        <w:t xml:space="preserve"> &amp;</w:t>
      </w:r>
    </w:p>
    <w:p w14:paraId="6C2F3CBD" w14:textId="06E580D4" w:rsidR="00FB4BCF" w:rsidRDefault="00FB4BCF" w:rsidP="001D7F94">
      <w:pPr>
        <w:pStyle w:val="CoverText"/>
        <w:rPr>
          <w:b/>
          <w:spacing w:val="-3"/>
        </w:rPr>
      </w:pPr>
      <w:r>
        <w:t>CA-</w:t>
      </w:r>
      <w:r w:rsidR="003F04B2">
        <w:t>2024-001927</w:t>
      </w:r>
    </w:p>
    <w:p w14:paraId="385D0312" w14:textId="77777777" w:rsidR="00C439A3" w:rsidRDefault="00C439A3"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876D67">
        <w:t>CIVIL</w:t>
      </w:r>
      <w:r>
        <w:t xml:space="preserve"> DIVISION)</w:t>
      </w:r>
    </w:p>
    <w:p w14:paraId="634B9690" w14:textId="3671A8AF" w:rsidR="00C439A3" w:rsidRDefault="00C439A3"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w:t>
      </w:r>
      <w:r w:rsidR="00BE6A70">
        <w:t>FROM THE EMPLOYMENT APPEAL TRIBUNAL</w:t>
      </w:r>
    </w:p>
    <w:p w14:paraId="65DC0806" w14:textId="57F968E8" w:rsidR="00C439A3" w:rsidRDefault="00AB1643"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Honourable Mr Justice Bourne</w:t>
      </w:r>
      <w:r w:rsidR="00F735BB">
        <w:t xml:space="preserve"> </w:t>
      </w:r>
    </w:p>
    <w:p w14:paraId="2A4F9562" w14:textId="5DF2B3A8" w:rsidR="00D4329A" w:rsidRDefault="00AB1643"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[2024] EAT 29</w:t>
      </w:r>
    </w:p>
    <w:p w14:paraId="452CB5BB" w14:textId="7731FEC5" w:rsidR="00C439A3" w:rsidRDefault="00D4329A"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His Honour Judge Martyn Bar</w:t>
      </w:r>
      <w:r w:rsidR="00153C2B">
        <w:t>k</w:t>
      </w:r>
      <w:r>
        <w:t xml:space="preserve">lem </w:t>
      </w:r>
    </w:p>
    <w:p w14:paraId="4635E386" w14:textId="7C86C369" w:rsidR="00153C2B" w:rsidRDefault="00153C2B"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[2024] EAT 137</w:t>
      </w:r>
    </w:p>
    <w:p w14:paraId="5F44A1D2" w14:textId="77777777" w:rsidR="00C439A3" w:rsidRDefault="00C439A3" w:rsidP="001D7F94">
      <w:pPr>
        <w:pStyle w:val="CoverText"/>
      </w:pPr>
      <w:r>
        <w:t>Royal Courts of Justice</w:t>
      </w:r>
    </w:p>
    <w:p w14:paraId="6700DBCA" w14:textId="77777777" w:rsidR="00C439A3" w:rsidRDefault="00C439A3" w:rsidP="001D7F94">
      <w:pPr>
        <w:pStyle w:val="CoverText"/>
      </w:pPr>
      <w:r>
        <w:t>Strand, London, WC2A 2LL</w:t>
      </w:r>
    </w:p>
    <w:p w14:paraId="26FCC0CE" w14:textId="77777777" w:rsidR="00C439A3" w:rsidRDefault="00C439A3" w:rsidP="001D7F94">
      <w:pPr>
        <w:suppressAutoHyphens/>
        <w:jc w:val="right"/>
        <w:rPr>
          <w:spacing w:val="-3"/>
          <w:u w:val="single"/>
        </w:rPr>
      </w:pPr>
    </w:p>
    <w:p w14:paraId="497D724E" w14:textId="6E9AE64A" w:rsidR="00C439A3" w:rsidRDefault="00C439A3" w:rsidP="001D7F94">
      <w:pPr>
        <w:pStyle w:val="CoverText"/>
        <w:rPr>
          <w:b/>
        </w:rPr>
      </w:pPr>
      <w:r>
        <w:t xml:space="preserve">Date: </w:t>
      </w:r>
      <w:r w:rsidR="00295CD7">
        <w:t>14 November 2025</w:t>
      </w:r>
    </w:p>
    <w:p w14:paraId="6C970183" w14:textId="0D89F5C5" w:rsidR="00C439A3" w:rsidRDefault="00C439A3" w:rsidP="001D7F94">
      <w:pPr>
        <w:suppressAutoHyphens/>
        <w:jc w:val="center"/>
        <w:rPr>
          <w:b/>
          <w:spacing w:val="-3"/>
        </w:rPr>
      </w:pPr>
      <w:r>
        <w:rPr>
          <w:b/>
          <w:spacing w:val="-3"/>
        </w:rPr>
        <w:t>Before:</w:t>
      </w:r>
    </w:p>
    <w:p w14:paraId="7821DCFF" w14:textId="77777777" w:rsidR="00C439A3" w:rsidRDefault="00C439A3" w:rsidP="001D7F94">
      <w:pPr>
        <w:suppressAutoHyphens/>
        <w:jc w:val="center"/>
        <w:rPr>
          <w:spacing w:val="-3"/>
        </w:rPr>
      </w:pPr>
    </w:p>
    <w:p w14:paraId="46281DBE" w14:textId="3BCC52EA" w:rsidR="00C439A3" w:rsidRDefault="00797D4D"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p>
    <w:p w14:paraId="0C09ECA6" w14:textId="057FDFAA" w:rsidR="00C439A3" w:rsidRDefault="00797D4D"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COULSON </w:t>
      </w:r>
      <w:r w:rsidR="00C439A3">
        <w:br/>
      </w:r>
      <w:r w:rsidR="00C439A3">
        <w:rPr>
          <w:b w:val="0"/>
          <w:bCs/>
          <w:u w:val="none"/>
        </w:rPr>
        <w:t>and</w:t>
      </w:r>
    </w:p>
    <w:p w14:paraId="73C861FC" w14:textId="5DFD1EAC" w:rsidR="00C439A3" w:rsidRDefault="00797D4D"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LADY JUSTICE ELISABETH LAING </w:t>
      </w:r>
    </w:p>
    <w:p w14:paraId="6963FDE6" w14:textId="77777777" w:rsidR="00C439A3" w:rsidRDefault="00C439A3" w:rsidP="001D7F94">
      <w:pPr>
        <w:suppressAutoHyphens/>
        <w:jc w:val="center"/>
        <w:rPr>
          <w:spacing w:val="-3"/>
        </w:rPr>
      </w:pPr>
      <w:r>
        <w:rPr>
          <w:spacing w:val="-3"/>
        </w:rPr>
        <w:t>- - - - - - - - - - - - - - - - - - - - -</w:t>
      </w:r>
    </w:p>
    <w:p w14:paraId="3C105C69" w14:textId="5E838681" w:rsidR="00C439A3" w:rsidRDefault="00C439A3" w:rsidP="001D7F94">
      <w:pPr>
        <w:suppressAutoHyphens/>
        <w:jc w:val="center"/>
        <w:rPr>
          <w:b/>
          <w:spacing w:val="-3"/>
        </w:rPr>
      </w:pPr>
      <w:r>
        <w:rPr>
          <w:b/>
          <w:spacing w:val="-3"/>
        </w:rPr>
        <w:t>Between:</w:t>
      </w:r>
    </w:p>
    <w:p w14:paraId="5AB60BA6" w14:textId="77777777" w:rsidR="00C439A3" w:rsidRDefault="00C439A3" w:rsidP="001D7F94">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1E44D809" w14:textId="77777777">
        <w:tc>
          <w:tcPr>
            <w:tcW w:w="1314" w:type="dxa"/>
          </w:tcPr>
          <w:p w14:paraId="14E9C18A" w14:textId="77777777" w:rsidR="00C439A3" w:rsidRDefault="00C439A3" w:rsidP="001D7F94">
            <w:pPr>
              <w:suppressAutoHyphens/>
              <w:rPr>
                <w:b/>
                <w:spacing w:val="-3"/>
              </w:rPr>
            </w:pPr>
          </w:p>
        </w:tc>
        <w:tc>
          <w:tcPr>
            <w:tcW w:w="6210" w:type="dxa"/>
          </w:tcPr>
          <w:p w14:paraId="66B283A0" w14:textId="7F6B50CB" w:rsidR="00C439A3" w:rsidRDefault="008D2397" w:rsidP="001D7F94">
            <w:pPr>
              <w:suppressAutoHyphens/>
              <w:jc w:val="center"/>
              <w:rPr>
                <w:b/>
                <w:spacing w:val="-3"/>
              </w:rPr>
            </w:pPr>
            <w:r>
              <w:rPr>
                <w:b/>
                <w:spacing w:val="-3"/>
              </w:rPr>
              <w:t>IAN RICE</w:t>
            </w:r>
          </w:p>
        </w:tc>
        <w:tc>
          <w:tcPr>
            <w:tcW w:w="1440" w:type="dxa"/>
          </w:tcPr>
          <w:p w14:paraId="69708FAD" w14:textId="6E1B08E6" w:rsidR="00C439A3" w:rsidRDefault="00DD6B7B"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u w:val="none"/>
              </w:rPr>
              <w:t xml:space="preserve">   </w:t>
            </w:r>
            <w:r w:rsidR="00C439A3">
              <w:t>Appellant</w:t>
            </w:r>
          </w:p>
        </w:tc>
      </w:tr>
      <w:tr w:rsidR="00C439A3" w14:paraId="079A6FD5" w14:textId="77777777">
        <w:tc>
          <w:tcPr>
            <w:tcW w:w="1314" w:type="dxa"/>
          </w:tcPr>
          <w:p w14:paraId="5220923B" w14:textId="77777777" w:rsidR="00C439A3" w:rsidRDefault="00C439A3" w:rsidP="001D7F94">
            <w:pPr>
              <w:suppressAutoHyphens/>
              <w:rPr>
                <w:b/>
                <w:spacing w:val="-3"/>
              </w:rPr>
            </w:pPr>
          </w:p>
        </w:tc>
        <w:tc>
          <w:tcPr>
            <w:tcW w:w="6210" w:type="dxa"/>
          </w:tcPr>
          <w:p w14:paraId="4696CDC8" w14:textId="77777777" w:rsidR="00C439A3" w:rsidRDefault="00C439A3" w:rsidP="001D7F94">
            <w:pPr>
              <w:tabs>
                <w:tab w:val="center" w:pos="3312"/>
              </w:tabs>
              <w:suppressAutoHyphens/>
              <w:jc w:val="center"/>
              <w:rPr>
                <w:b/>
                <w:spacing w:val="-3"/>
              </w:rPr>
            </w:pPr>
            <w:r>
              <w:rPr>
                <w:b/>
                <w:spacing w:val="-3"/>
              </w:rPr>
              <w:t>- and -</w:t>
            </w:r>
          </w:p>
        </w:tc>
        <w:tc>
          <w:tcPr>
            <w:tcW w:w="1440" w:type="dxa"/>
          </w:tcPr>
          <w:p w14:paraId="22613E29" w14:textId="77777777" w:rsidR="00C439A3" w:rsidRDefault="00C439A3" w:rsidP="001D7F94">
            <w:pPr>
              <w:suppressAutoHyphens/>
              <w:jc w:val="right"/>
              <w:rPr>
                <w:b/>
                <w:spacing w:val="-3"/>
              </w:rPr>
            </w:pPr>
          </w:p>
        </w:tc>
      </w:tr>
      <w:tr w:rsidR="00C439A3" w14:paraId="5D17983B" w14:textId="77777777">
        <w:tc>
          <w:tcPr>
            <w:tcW w:w="1314" w:type="dxa"/>
          </w:tcPr>
          <w:p w14:paraId="4AC0F60D" w14:textId="77777777" w:rsidR="00C439A3" w:rsidRDefault="00C439A3" w:rsidP="001D7F94">
            <w:pPr>
              <w:suppressAutoHyphens/>
              <w:rPr>
                <w:b/>
                <w:spacing w:val="-3"/>
              </w:rPr>
            </w:pPr>
          </w:p>
        </w:tc>
        <w:tc>
          <w:tcPr>
            <w:tcW w:w="6210" w:type="dxa"/>
          </w:tcPr>
          <w:p w14:paraId="5181D836" w14:textId="77777777" w:rsidR="00C439A3" w:rsidRDefault="008D2397" w:rsidP="001D7F94">
            <w:pPr>
              <w:tabs>
                <w:tab w:val="center" w:pos="3312"/>
              </w:tabs>
              <w:suppressAutoHyphens/>
              <w:jc w:val="center"/>
              <w:rPr>
                <w:b/>
                <w:spacing w:val="-3"/>
              </w:rPr>
            </w:pPr>
            <w:r>
              <w:rPr>
                <w:b/>
                <w:spacing w:val="-3"/>
              </w:rPr>
              <w:t>WICKED VISION</w:t>
            </w:r>
            <w:r w:rsidR="00C84976">
              <w:rPr>
                <w:b/>
                <w:spacing w:val="-3"/>
              </w:rPr>
              <w:t xml:space="preserve"> LIMITED</w:t>
            </w:r>
          </w:p>
          <w:p w14:paraId="326C02A1" w14:textId="77777777" w:rsidR="002D4306" w:rsidRDefault="002D4306" w:rsidP="001D7F94">
            <w:pPr>
              <w:tabs>
                <w:tab w:val="center" w:pos="3312"/>
              </w:tabs>
              <w:suppressAutoHyphens/>
              <w:jc w:val="center"/>
              <w:rPr>
                <w:b/>
                <w:spacing w:val="-3"/>
              </w:rPr>
            </w:pPr>
            <w:r>
              <w:rPr>
                <w:b/>
                <w:spacing w:val="-3"/>
              </w:rPr>
              <w:t>-and-</w:t>
            </w:r>
          </w:p>
          <w:p w14:paraId="67AC28FC" w14:textId="00957A7C" w:rsidR="002D4306" w:rsidRDefault="002D4306" w:rsidP="001D7F94">
            <w:pPr>
              <w:tabs>
                <w:tab w:val="center" w:pos="3312"/>
              </w:tabs>
              <w:suppressAutoHyphens/>
              <w:jc w:val="center"/>
              <w:rPr>
                <w:b/>
                <w:spacing w:val="-3"/>
              </w:rPr>
            </w:pPr>
            <w:r>
              <w:rPr>
                <w:b/>
                <w:spacing w:val="-3"/>
              </w:rPr>
              <w:t>PROTECT (FORMERLY PUBLIC CONCERN AT WORK)</w:t>
            </w:r>
          </w:p>
        </w:tc>
        <w:tc>
          <w:tcPr>
            <w:tcW w:w="1440" w:type="dxa"/>
          </w:tcPr>
          <w:p w14:paraId="0809F521" w14:textId="77777777" w:rsidR="00C439A3" w:rsidRDefault="00C439A3"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p w14:paraId="0647576B" w14:textId="77777777" w:rsidR="002D4306" w:rsidRDefault="002D4306" w:rsidP="002D4306">
            <w:pPr>
              <w:rPr>
                <w:b/>
                <w:spacing w:val="-3"/>
                <w:szCs w:val="20"/>
                <w:u w:val="single"/>
              </w:rPr>
            </w:pPr>
          </w:p>
          <w:p w14:paraId="0C9BC7D0" w14:textId="77777777" w:rsidR="00807C99" w:rsidRDefault="002D4306" w:rsidP="002D4306">
            <w:pPr>
              <w:rPr>
                <w:b/>
                <w:bCs/>
              </w:rPr>
            </w:pPr>
            <w:r>
              <w:rPr>
                <w:b/>
                <w:bCs/>
              </w:rPr>
              <w:t xml:space="preserve">  </w:t>
            </w:r>
          </w:p>
          <w:p w14:paraId="52AD4AB3" w14:textId="4187A249" w:rsidR="002D4306" w:rsidRPr="005F6446" w:rsidRDefault="00982DC3" w:rsidP="005F6446">
            <w:pPr>
              <w:rPr>
                <w:bCs/>
                <w:u w:val="single"/>
              </w:rPr>
            </w:pPr>
            <w:r w:rsidRPr="00982DC3">
              <w:rPr>
                <w:b/>
                <w:bCs/>
              </w:rPr>
              <w:t xml:space="preserve">  </w:t>
            </w:r>
            <w:r w:rsidR="002D4306" w:rsidRPr="005F6446">
              <w:rPr>
                <w:b/>
                <w:bCs/>
                <w:u w:val="single"/>
              </w:rPr>
              <w:t>Intervener</w:t>
            </w:r>
          </w:p>
        </w:tc>
      </w:tr>
      <w:tr w:rsidR="009918B7" w14:paraId="65A1037F" w14:textId="77777777">
        <w:tc>
          <w:tcPr>
            <w:tcW w:w="1314" w:type="dxa"/>
          </w:tcPr>
          <w:p w14:paraId="37EAD0E7" w14:textId="77777777" w:rsidR="009918B7" w:rsidRDefault="009918B7" w:rsidP="001D7F94">
            <w:pPr>
              <w:suppressAutoHyphens/>
              <w:rPr>
                <w:b/>
                <w:spacing w:val="-3"/>
              </w:rPr>
            </w:pPr>
          </w:p>
        </w:tc>
        <w:tc>
          <w:tcPr>
            <w:tcW w:w="6210" w:type="dxa"/>
          </w:tcPr>
          <w:p w14:paraId="3073C3E7" w14:textId="77777777" w:rsidR="009918B7" w:rsidRDefault="009918B7" w:rsidP="001D7F94">
            <w:pPr>
              <w:tabs>
                <w:tab w:val="center" w:pos="3312"/>
              </w:tabs>
              <w:suppressAutoHyphens/>
              <w:jc w:val="center"/>
              <w:rPr>
                <w:b/>
                <w:spacing w:val="-3"/>
              </w:rPr>
            </w:pPr>
          </w:p>
          <w:p w14:paraId="7D9665F0" w14:textId="7E376F10" w:rsidR="009918B7" w:rsidRDefault="008C4F90" w:rsidP="001D7F94">
            <w:pPr>
              <w:tabs>
                <w:tab w:val="center" w:pos="3312"/>
              </w:tabs>
              <w:suppressAutoHyphens/>
              <w:jc w:val="center"/>
              <w:rPr>
                <w:b/>
                <w:spacing w:val="-3"/>
              </w:rPr>
            </w:pPr>
            <w:r>
              <w:rPr>
                <w:b/>
                <w:spacing w:val="-3"/>
              </w:rPr>
              <w:t>a</w:t>
            </w:r>
            <w:r w:rsidR="007574AD">
              <w:rPr>
                <w:b/>
                <w:spacing w:val="-3"/>
              </w:rPr>
              <w:t>nd between:</w:t>
            </w:r>
          </w:p>
          <w:p w14:paraId="465CF3AD" w14:textId="23D88061" w:rsidR="007574AD" w:rsidRDefault="007574AD" w:rsidP="001D7F94">
            <w:pPr>
              <w:tabs>
                <w:tab w:val="center" w:pos="3312"/>
              </w:tabs>
              <w:suppressAutoHyphens/>
              <w:jc w:val="center"/>
              <w:rPr>
                <w:b/>
                <w:spacing w:val="-3"/>
              </w:rPr>
            </w:pPr>
          </w:p>
        </w:tc>
        <w:tc>
          <w:tcPr>
            <w:tcW w:w="1440" w:type="dxa"/>
          </w:tcPr>
          <w:p w14:paraId="76FD11CE" w14:textId="77777777" w:rsidR="009918B7" w:rsidRDefault="009918B7"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9918B7" w14:paraId="7A0308EF" w14:textId="77777777">
        <w:tc>
          <w:tcPr>
            <w:tcW w:w="1314" w:type="dxa"/>
          </w:tcPr>
          <w:p w14:paraId="3C864E60" w14:textId="77777777" w:rsidR="009918B7" w:rsidRDefault="009918B7" w:rsidP="001D7F94">
            <w:pPr>
              <w:suppressAutoHyphens/>
              <w:rPr>
                <w:b/>
                <w:spacing w:val="-3"/>
              </w:rPr>
            </w:pPr>
          </w:p>
          <w:p w14:paraId="1A7A4DBD" w14:textId="77777777" w:rsidR="009918B7" w:rsidRDefault="009918B7" w:rsidP="001D7F94">
            <w:pPr>
              <w:suppressAutoHyphens/>
              <w:jc w:val="center"/>
              <w:rPr>
                <w:b/>
                <w:spacing w:val="-3"/>
              </w:rPr>
            </w:pPr>
          </w:p>
        </w:tc>
        <w:tc>
          <w:tcPr>
            <w:tcW w:w="6210" w:type="dxa"/>
          </w:tcPr>
          <w:tbl>
            <w:tblPr>
              <w:tblW w:w="6540" w:type="dxa"/>
              <w:tblInd w:w="144" w:type="dxa"/>
              <w:tblLayout w:type="fixed"/>
              <w:tblLook w:val="0000" w:firstRow="0" w:lastRow="0" w:firstColumn="0" w:lastColumn="0" w:noHBand="0" w:noVBand="0"/>
            </w:tblPr>
            <w:tblGrid>
              <w:gridCol w:w="5519"/>
              <w:gridCol w:w="1021"/>
            </w:tblGrid>
            <w:tr w:rsidR="009918B7" w14:paraId="1903EB1F" w14:textId="77777777" w:rsidTr="00403372">
              <w:tc>
                <w:tcPr>
                  <w:tcW w:w="5519" w:type="dxa"/>
                </w:tcPr>
                <w:p w14:paraId="4F824D8E" w14:textId="236AD654" w:rsidR="009918B7" w:rsidRDefault="009918B7" w:rsidP="001D7F94">
                  <w:pPr>
                    <w:suppressAutoHyphens/>
                    <w:jc w:val="center"/>
                    <w:rPr>
                      <w:b/>
                      <w:spacing w:val="-3"/>
                    </w:rPr>
                  </w:pPr>
                  <w:r>
                    <w:rPr>
                      <w:b/>
                      <w:spacing w:val="-3"/>
                    </w:rPr>
                    <w:t xml:space="preserve">    BARTON TURNS DEVELOPMENTS </w:t>
                  </w:r>
                  <w:r w:rsidR="00780DC9">
                    <w:rPr>
                      <w:b/>
                      <w:spacing w:val="-3"/>
                    </w:rPr>
                    <w:t xml:space="preserve">      </w:t>
                  </w:r>
                  <w:r w:rsidR="006340FE">
                    <w:rPr>
                      <w:b/>
                      <w:spacing w:val="-3"/>
                    </w:rPr>
                    <w:t xml:space="preserve">  </w:t>
                  </w:r>
                  <w:r>
                    <w:rPr>
                      <w:b/>
                      <w:spacing w:val="-3"/>
                    </w:rPr>
                    <w:t>LIMITED</w:t>
                  </w:r>
                </w:p>
              </w:tc>
              <w:tc>
                <w:tcPr>
                  <w:tcW w:w="1021" w:type="dxa"/>
                </w:tcPr>
                <w:p w14:paraId="54E61015" w14:textId="6E24EA5B" w:rsidR="009918B7" w:rsidRDefault="009918B7"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          </w:t>
                  </w:r>
                </w:p>
              </w:tc>
            </w:tr>
            <w:tr w:rsidR="009918B7" w14:paraId="2E3DA3C4" w14:textId="77777777" w:rsidTr="00403372">
              <w:tc>
                <w:tcPr>
                  <w:tcW w:w="5519" w:type="dxa"/>
                </w:tcPr>
                <w:p w14:paraId="465FB08B" w14:textId="11CC091B" w:rsidR="009918B7" w:rsidRDefault="006340FE" w:rsidP="001D7F94">
                  <w:pPr>
                    <w:tabs>
                      <w:tab w:val="left" w:pos="2246"/>
                      <w:tab w:val="center" w:pos="3312"/>
                    </w:tabs>
                    <w:suppressAutoHyphens/>
                    <w:jc w:val="center"/>
                    <w:rPr>
                      <w:b/>
                      <w:spacing w:val="-3"/>
                    </w:rPr>
                  </w:pPr>
                  <w:r>
                    <w:rPr>
                      <w:b/>
                      <w:spacing w:val="-3"/>
                    </w:rPr>
                    <w:t xml:space="preserve"> </w:t>
                  </w:r>
                  <w:r w:rsidR="009918B7">
                    <w:rPr>
                      <w:b/>
                      <w:spacing w:val="-3"/>
                    </w:rPr>
                    <w:t>- and -</w:t>
                  </w:r>
                </w:p>
              </w:tc>
              <w:tc>
                <w:tcPr>
                  <w:tcW w:w="1021" w:type="dxa"/>
                </w:tcPr>
                <w:p w14:paraId="6004ABBF" w14:textId="77777777" w:rsidR="009918B7" w:rsidRDefault="009918B7" w:rsidP="001D7F94">
                  <w:pPr>
                    <w:suppressAutoHyphens/>
                    <w:jc w:val="right"/>
                    <w:rPr>
                      <w:b/>
                      <w:spacing w:val="-3"/>
                    </w:rPr>
                  </w:pPr>
                </w:p>
              </w:tc>
            </w:tr>
            <w:tr w:rsidR="009918B7" w14:paraId="0804C3F6" w14:textId="77777777" w:rsidTr="00403372">
              <w:tc>
                <w:tcPr>
                  <w:tcW w:w="5519" w:type="dxa"/>
                </w:tcPr>
                <w:p w14:paraId="0DC066D4" w14:textId="0EFDCEE4" w:rsidR="009918B7" w:rsidRDefault="009B2A6F" w:rsidP="001D7F94">
                  <w:pPr>
                    <w:tabs>
                      <w:tab w:val="center" w:pos="3312"/>
                    </w:tabs>
                    <w:suppressAutoHyphens/>
                    <w:ind w:right="-517"/>
                    <w:rPr>
                      <w:b/>
                      <w:spacing w:val="-3"/>
                    </w:rPr>
                  </w:pPr>
                  <w:r>
                    <w:rPr>
                      <w:b/>
                      <w:spacing w:val="-3"/>
                    </w:rPr>
                    <w:t xml:space="preserve">                         </w:t>
                  </w:r>
                  <w:r w:rsidR="008C4F90">
                    <w:rPr>
                      <w:b/>
                      <w:spacing w:val="-3"/>
                    </w:rPr>
                    <w:t xml:space="preserve">  </w:t>
                  </w:r>
                  <w:r w:rsidR="00D77147">
                    <w:rPr>
                      <w:b/>
                      <w:spacing w:val="-3"/>
                    </w:rPr>
                    <w:t xml:space="preserve">GAIL </w:t>
                  </w:r>
                  <w:r w:rsidR="00945AA3">
                    <w:rPr>
                      <w:b/>
                      <w:spacing w:val="-3"/>
                    </w:rPr>
                    <w:t>TREADWELL</w:t>
                  </w:r>
                </w:p>
              </w:tc>
              <w:tc>
                <w:tcPr>
                  <w:tcW w:w="1021" w:type="dxa"/>
                </w:tcPr>
                <w:p w14:paraId="29359794" w14:textId="6B691A9A" w:rsidR="009918B7" w:rsidRDefault="009918B7"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bl>
          <w:p w14:paraId="610509B3" w14:textId="77777777" w:rsidR="009918B7" w:rsidRDefault="009918B7" w:rsidP="001D7F94">
            <w:pPr>
              <w:tabs>
                <w:tab w:val="center" w:pos="3312"/>
              </w:tabs>
              <w:suppressAutoHyphens/>
              <w:jc w:val="center"/>
              <w:rPr>
                <w:b/>
                <w:spacing w:val="-3"/>
              </w:rPr>
            </w:pPr>
          </w:p>
        </w:tc>
        <w:tc>
          <w:tcPr>
            <w:tcW w:w="1440" w:type="dxa"/>
          </w:tcPr>
          <w:p w14:paraId="230BC904" w14:textId="4A7A19A5" w:rsidR="009918B7" w:rsidRDefault="00DD6B7B" w:rsidP="001D7F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DD6B7B">
              <w:rPr>
                <w:u w:val="none"/>
              </w:rPr>
              <w:t xml:space="preserve">   </w:t>
            </w:r>
            <w:r>
              <w:t>Appellant</w:t>
            </w:r>
          </w:p>
          <w:p w14:paraId="1C1A4DC6" w14:textId="77777777" w:rsidR="00DD6B7B" w:rsidRPr="00DD6B7B" w:rsidRDefault="00DD6B7B" w:rsidP="001D7F94"/>
          <w:p w14:paraId="36059252" w14:textId="77777777" w:rsidR="00DD6B7B" w:rsidRDefault="00DD6B7B" w:rsidP="001D7F94">
            <w:pPr>
              <w:rPr>
                <w:b/>
                <w:spacing w:val="-3"/>
                <w:szCs w:val="20"/>
                <w:u w:val="single"/>
              </w:rPr>
            </w:pPr>
          </w:p>
          <w:p w14:paraId="19520128" w14:textId="131474F9" w:rsidR="00DD6B7B" w:rsidRPr="00DD6B7B" w:rsidRDefault="00DD6B7B" w:rsidP="001D7F94">
            <w:pPr>
              <w:jc w:val="center"/>
              <w:rPr>
                <w:b/>
                <w:bCs/>
                <w:u w:val="single"/>
              </w:rPr>
            </w:pPr>
            <w:r w:rsidRPr="00DD6B7B">
              <w:rPr>
                <w:b/>
                <w:bCs/>
                <w:u w:val="single"/>
              </w:rPr>
              <w:t>Respondent</w:t>
            </w:r>
          </w:p>
        </w:tc>
      </w:tr>
    </w:tbl>
    <w:p w14:paraId="6D37FC27" w14:textId="77777777" w:rsidR="00C439A3" w:rsidRDefault="00C439A3" w:rsidP="001D7F94">
      <w:pPr>
        <w:suppressAutoHyphens/>
        <w:rPr>
          <w:b/>
          <w:spacing w:val="-3"/>
        </w:rPr>
      </w:pPr>
    </w:p>
    <w:p w14:paraId="17D15384" w14:textId="77777777" w:rsidR="00C439A3" w:rsidRDefault="00C439A3" w:rsidP="001D7F94">
      <w:pPr>
        <w:suppressAutoHyphens/>
        <w:jc w:val="center"/>
        <w:rPr>
          <w:spacing w:val="-3"/>
        </w:rPr>
      </w:pPr>
      <w:r>
        <w:rPr>
          <w:spacing w:val="-3"/>
        </w:rPr>
        <w:t>- - - - - - - - - - - - - - - - - - - - -</w:t>
      </w:r>
    </w:p>
    <w:p w14:paraId="547D9F6E" w14:textId="77777777" w:rsidR="00C439A3" w:rsidRDefault="00C439A3" w:rsidP="001D7F94">
      <w:pPr>
        <w:suppressAutoHyphens/>
        <w:jc w:val="center"/>
        <w:rPr>
          <w:spacing w:val="-3"/>
        </w:rPr>
      </w:pPr>
      <w:r>
        <w:rPr>
          <w:spacing w:val="-3"/>
        </w:rPr>
        <w:t>- - - - - - - - - - - - - - - - - - - - -</w:t>
      </w:r>
    </w:p>
    <w:p w14:paraId="725A2CCE" w14:textId="77777777" w:rsidR="00C439A3" w:rsidRDefault="00C439A3" w:rsidP="001D7F94">
      <w:pPr>
        <w:suppressAutoHyphens/>
        <w:jc w:val="center"/>
        <w:rPr>
          <w:spacing w:val="-3"/>
        </w:rPr>
      </w:pPr>
    </w:p>
    <w:p w14:paraId="0875BF9E" w14:textId="43C1C40B" w:rsidR="00C439A3" w:rsidRPr="00EB29DE" w:rsidRDefault="00BA1CA9" w:rsidP="001D7F94">
      <w:pPr>
        <w:suppressAutoHyphens/>
        <w:jc w:val="center"/>
        <w:rPr>
          <w:b/>
          <w:spacing w:val="-3"/>
        </w:rPr>
      </w:pPr>
      <w:r>
        <w:rPr>
          <w:b/>
          <w:spacing w:val="-3"/>
        </w:rPr>
        <w:t>Adam Solomon KC</w:t>
      </w:r>
      <w:r w:rsidR="003B1AAA">
        <w:rPr>
          <w:b/>
          <w:spacing w:val="-3"/>
        </w:rPr>
        <w:t>, Chris Milsom and Tamsin Sandiford</w:t>
      </w:r>
      <w:r w:rsidR="00C439A3">
        <w:rPr>
          <w:bCs/>
          <w:spacing w:val="-3"/>
        </w:rPr>
        <w:t xml:space="preserve"> (instructed by</w:t>
      </w:r>
      <w:r w:rsidR="003B1AAA">
        <w:rPr>
          <w:bCs/>
          <w:spacing w:val="-3"/>
        </w:rPr>
        <w:t xml:space="preserve"> </w:t>
      </w:r>
      <w:r w:rsidR="00562693">
        <w:rPr>
          <w:b/>
          <w:spacing w:val="-3"/>
        </w:rPr>
        <w:t>The Wilkes Partnership LLP</w:t>
      </w:r>
      <w:r w:rsidR="003B1AAA">
        <w:rPr>
          <w:bCs/>
          <w:spacing w:val="-3"/>
        </w:rPr>
        <w:t>)</w:t>
      </w:r>
      <w:r w:rsidR="00C439A3">
        <w:rPr>
          <w:bCs/>
          <w:spacing w:val="-3"/>
        </w:rPr>
        <w:t xml:space="preserve"> for </w:t>
      </w:r>
      <w:r w:rsidR="00EB29DE" w:rsidRPr="00EB29DE">
        <w:rPr>
          <w:b/>
          <w:spacing w:val="-3"/>
        </w:rPr>
        <w:t>Ian Rice</w:t>
      </w:r>
    </w:p>
    <w:p w14:paraId="2844CFB7" w14:textId="2A6C85DF" w:rsidR="00C439A3" w:rsidRDefault="002D3295" w:rsidP="001D7F94">
      <w:pPr>
        <w:suppressAutoHyphens/>
        <w:jc w:val="center"/>
        <w:rPr>
          <w:b/>
          <w:spacing w:val="-3"/>
        </w:rPr>
      </w:pPr>
      <w:r>
        <w:rPr>
          <w:b/>
          <w:spacing w:val="-3"/>
        </w:rPr>
        <w:t xml:space="preserve">Nadia Motraghi KC, Rad </w:t>
      </w:r>
      <w:proofErr w:type="spellStart"/>
      <w:r>
        <w:rPr>
          <w:b/>
          <w:spacing w:val="-3"/>
        </w:rPr>
        <w:t>Kohanzad</w:t>
      </w:r>
      <w:proofErr w:type="spellEnd"/>
      <w:r>
        <w:rPr>
          <w:b/>
          <w:spacing w:val="-3"/>
        </w:rPr>
        <w:t xml:space="preserve"> and </w:t>
      </w:r>
      <w:r w:rsidR="00CC57CC">
        <w:rPr>
          <w:b/>
          <w:spacing w:val="-3"/>
        </w:rPr>
        <w:t xml:space="preserve">Daisy </w:t>
      </w:r>
      <w:r>
        <w:rPr>
          <w:b/>
          <w:spacing w:val="-3"/>
        </w:rPr>
        <w:t xml:space="preserve">van den Berg </w:t>
      </w:r>
      <w:r w:rsidR="00C439A3">
        <w:rPr>
          <w:bCs/>
          <w:spacing w:val="-3"/>
        </w:rPr>
        <w:t>(instructed by</w:t>
      </w:r>
      <w:r w:rsidR="00C439A3">
        <w:rPr>
          <w:b/>
          <w:spacing w:val="-3"/>
        </w:rPr>
        <w:t xml:space="preserve"> </w:t>
      </w:r>
      <w:r>
        <w:rPr>
          <w:b/>
          <w:spacing w:val="-3"/>
        </w:rPr>
        <w:t>Atkinson Rose</w:t>
      </w:r>
      <w:r w:rsidR="00C439A3">
        <w:rPr>
          <w:bCs/>
          <w:spacing w:val="-3"/>
        </w:rPr>
        <w:t xml:space="preserve">) for </w:t>
      </w:r>
      <w:r w:rsidR="00A10B92" w:rsidRPr="00A10B92">
        <w:rPr>
          <w:b/>
          <w:spacing w:val="-3"/>
        </w:rPr>
        <w:t>Wicked Vision Limited</w:t>
      </w:r>
    </w:p>
    <w:p w14:paraId="0708B9AD" w14:textId="0EB14C0E" w:rsidR="009A187C" w:rsidRDefault="009A187C" w:rsidP="001D7F94">
      <w:pPr>
        <w:suppressAutoHyphens/>
        <w:jc w:val="center"/>
        <w:rPr>
          <w:b/>
          <w:spacing w:val="-3"/>
        </w:rPr>
      </w:pPr>
      <w:r>
        <w:rPr>
          <w:b/>
          <w:spacing w:val="-3"/>
        </w:rPr>
        <w:t xml:space="preserve">Schona Jolly KC and Dee Masters </w:t>
      </w:r>
      <w:r w:rsidRPr="005F6446">
        <w:rPr>
          <w:bCs/>
          <w:spacing w:val="-3"/>
        </w:rPr>
        <w:t>(instructed by</w:t>
      </w:r>
      <w:r>
        <w:rPr>
          <w:b/>
          <w:spacing w:val="-3"/>
        </w:rPr>
        <w:t xml:space="preserve"> CM Murray LLP</w:t>
      </w:r>
      <w:r w:rsidRPr="005F6446">
        <w:rPr>
          <w:bCs/>
          <w:spacing w:val="-3"/>
        </w:rPr>
        <w:t>)</w:t>
      </w:r>
      <w:r>
        <w:rPr>
          <w:b/>
          <w:spacing w:val="-3"/>
        </w:rPr>
        <w:t xml:space="preserve"> </w:t>
      </w:r>
      <w:r w:rsidRPr="005F6446">
        <w:rPr>
          <w:bCs/>
          <w:spacing w:val="-3"/>
        </w:rPr>
        <w:t>for</w:t>
      </w:r>
      <w:r>
        <w:rPr>
          <w:b/>
          <w:spacing w:val="-3"/>
        </w:rPr>
        <w:t xml:space="preserve"> Protect (formerly Public Concern at Work)</w:t>
      </w:r>
    </w:p>
    <w:p w14:paraId="24604C4E" w14:textId="77777777" w:rsidR="00A10B92" w:rsidRDefault="00A10B92" w:rsidP="001D7F94">
      <w:pPr>
        <w:suppressAutoHyphens/>
        <w:jc w:val="center"/>
        <w:rPr>
          <w:b/>
          <w:spacing w:val="-3"/>
        </w:rPr>
      </w:pPr>
    </w:p>
    <w:p w14:paraId="26A2B144" w14:textId="16DCF170" w:rsidR="00A10B92" w:rsidRPr="001E0256" w:rsidRDefault="001E0256" w:rsidP="001D7F94">
      <w:pPr>
        <w:suppressAutoHyphens/>
        <w:jc w:val="center"/>
        <w:rPr>
          <w:b/>
          <w:spacing w:val="-3"/>
        </w:rPr>
      </w:pPr>
      <w:r>
        <w:rPr>
          <w:b/>
          <w:spacing w:val="-3"/>
        </w:rPr>
        <w:lastRenderedPageBreak/>
        <w:t>Nicholas Bidnell-Edwards</w:t>
      </w:r>
      <w:r w:rsidR="00A10B92">
        <w:rPr>
          <w:bCs/>
          <w:spacing w:val="-3"/>
        </w:rPr>
        <w:t xml:space="preserve"> (instructed by</w:t>
      </w:r>
      <w:r>
        <w:rPr>
          <w:bCs/>
          <w:spacing w:val="-3"/>
        </w:rPr>
        <w:t xml:space="preserve"> </w:t>
      </w:r>
      <w:r>
        <w:rPr>
          <w:b/>
          <w:spacing w:val="-3"/>
        </w:rPr>
        <w:t>Guardian Law Limited</w:t>
      </w:r>
      <w:r w:rsidR="00A10B92">
        <w:rPr>
          <w:bCs/>
          <w:spacing w:val="-3"/>
        </w:rPr>
        <w:t xml:space="preserve">) for </w:t>
      </w:r>
      <w:r w:rsidR="00790713">
        <w:rPr>
          <w:b/>
          <w:spacing w:val="-3"/>
        </w:rPr>
        <w:t>Barton Turns Developments Limited</w:t>
      </w:r>
    </w:p>
    <w:p w14:paraId="4A774FE6" w14:textId="64F0054D" w:rsidR="00A10B92" w:rsidRDefault="00790713" w:rsidP="001D7F94">
      <w:pPr>
        <w:suppressAutoHyphens/>
        <w:jc w:val="center"/>
        <w:rPr>
          <w:bCs/>
          <w:spacing w:val="-3"/>
        </w:rPr>
      </w:pPr>
      <w:r>
        <w:rPr>
          <w:b/>
          <w:spacing w:val="-3"/>
        </w:rPr>
        <w:t xml:space="preserve">Jeffrey Jupp KC and </w:t>
      </w:r>
      <w:r w:rsidR="00CC57CC">
        <w:rPr>
          <w:b/>
          <w:spacing w:val="-3"/>
        </w:rPr>
        <w:t xml:space="preserve">Christopher </w:t>
      </w:r>
      <w:r>
        <w:rPr>
          <w:b/>
          <w:spacing w:val="-3"/>
        </w:rPr>
        <w:t xml:space="preserve">Canning </w:t>
      </w:r>
      <w:r w:rsidR="00A10B92">
        <w:rPr>
          <w:bCs/>
          <w:spacing w:val="-3"/>
        </w:rPr>
        <w:t>(instructed by</w:t>
      </w:r>
      <w:r>
        <w:rPr>
          <w:bCs/>
          <w:spacing w:val="-3"/>
        </w:rPr>
        <w:t xml:space="preserve"> </w:t>
      </w:r>
      <w:r w:rsidRPr="00790713">
        <w:rPr>
          <w:b/>
          <w:spacing w:val="-3"/>
        </w:rPr>
        <w:t>Premier Legal</w:t>
      </w:r>
      <w:r w:rsidR="00A10B92">
        <w:rPr>
          <w:bCs/>
          <w:spacing w:val="-3"/>
        </w:rPr>
        <w:t xml:space="preserve">) for </w:t>
      </w:r>
      <w:r w:rsidRPr="00790713">
        <w:rPr>
          <w:b/>
          <w:spacing w:val="-3"/>
        </w:rPr>
        <w:t>Gail Treadwell</w:t>
      </w:r>
    </w:p>
    <w:p w14:paraId="7228E9EA" w14:textId="77777777" w:rsidR="00A10B92" w:rsidRDefault="00A10B92" w:rsidP="001D7F94">
      <w:pPr>
        <w:suppressAutoHyphens/>
        <w:jc w:val="center"/>
        <w:rPr>
          <w:bCs/>
          <w:spacing w:val="-3"/>
        </w:rPr>
      </w:pPr>
    </w:p>
    <w:p w14:paraId="72E1659C" w14:textId="77777777" w:rsidR="00C439A3" w:rsidRDefault="00C439A3" w:rsidP="001D7F94">
      <w:pPr>
        <w:suppressAutoHyphens/>
        <w:jc w:val="center"/>
        <w:rPr>
          <w:b/>
          <w:spacing w:val="-3"/>
        </w:rPr>
      </w:pPr>
    </w:p>
    <w:p w14:paraId="4C041279" w14:textId="32F84D9A" w:rsidR="00C439A3" w:rsidRDefault="00C439A3" w:rsidP="001D7F94">
      <w:pPr>
        <w:suppressAutoHyphens/>
        <w:jc w:val="center"/>
        <w:rPr>
          <w:spacing w:val="-3"/>
        </w:rPr>
      </w:pPr>
      <w:r>
        <w:rPr>
          <w:spacing w:val="-3"/>
        </w:rPr>
        <w:t xml:space="preserve">Hearing dates: </w:t>
      </w:r>
      <w:r w:rsidR="00C84976">
        <w:rPr>
          <w:spacing w:val="-3"/>
        </w:rPr>
        <w:t>14 and 15 October 2025</w:t>
      </w:r>
    </w:p>
    <w:p w14:paraId="53458F16" w14:textId="77777777" w:rsidR="00C439A3" w:rsidRDefault="00C439A3" w:rsidP="001D7F94">
      <w:pPr>
        <w:suppressAutoHyphens/>
        <w:jc w:val="center"/>
        <w:rPr>
          <w:spacing w:val="-3"/>
        </w:rPr>
      </w:pPr>
      <w:r>
        <w:rPr>
          <w:spacing w:val="-3"/>
        </w:rPr>
        <w:t>- - - - - - - - - - - - - - - - - - - - -</w:t>
      </w:r>
    </w:p>
    <w:p w14:paraId="2E8F24BF" w14:textId="70B501E9" w:rsidR="00C439A3" w:rsidRDefault="00AC2BC7" w:rsidP="00AC2BC7">
      <w:pPr>
        <w:pStyle w:val="CoverDesc"/>
      </w:pPr>
      <w:r>
        <w:t>Approved Judgment</w:t>
      </w:r>
    </w:p>
    <w:p w14:paraId="4FAEAE7B" w14:textId="77777777" w:rsidR="00AC2BC7" w:rsidRDefault="00AC2BC7" w:rsidP="00AC2BC7">
      <w:pPr>
        <w:jc w:val="center"/>
      </w:pPr>
      <w:r>
        <w:t xml:space="preserve"> </w:t>
      </w:r>
    </w:p>
    <w:p w14:paraId="72775019" w14:textId="06CF0BBC" w:rsidR="00AC2BC7" w:rsidRDefault="00AC2BC7" w:rsidP="00AC2BC7">
      <w:pPr>
        <w:jc w:val="center"/>
      </w:pPr>
      <w:r>
        <w:t xml:space="preserve">This judgment was handed down remotely at </w:t>
      </w:r>
      <w:r w:rsidR="00B92B01">
        <w:t>2 p</w:t>
      </w:r>
      <w:r>
        <w:t xml:space="preserve">m on </w:t>
      </w:r>
      <w:r w:rsidR="00B92B01">
        <w:t>14 November 2025</w:t>
      </w:r>
      <w:r>
        <w:t xml:space="preserve"> by circulation to the parties or their representatives by e-mail and by release to the National Archives.</w:t>
      </w:r>
    </w:p>
    <w:p w14:paraId="12E02E49" w14:textId="77777777" w:rsidR="00AC2BC7" w:rsidRDefault="00AC2BC7" w:rsidP="00AC2BC7">
      <w:pPr>
        <w:jc w:val="center"/>
      </w:pPr>
    </w:p>
    <w:p w14:paraId="1D14A4DE" w14:textId="77777777" w:rsidR="00AC2BC7" w:rsidRDefault="00AC2BC7" w:rsidP="00AC2BC7">
      <w:pPr>
        <w:jc w:val="center"/>
      </w:pPr>
      <w:r>
        <w:t>.............................</w:t>
      </w:r>
    </w:p>
    <w:p w14:paraId="73A87585" w14:textId="3D5C6828" w:rsidR="00AC2BC7" w:rsidRPr="00AC2BC7" w:rsidRDefault="00AC2BC7" w:rsidP="00AC2BC7">
      <w:pPr>
        <w:jc w:val="center"/>
      </w:pPr>
    </w:p>
    <w:p w14:paraId="4481807D" w14:textId="77777777" w:rsidR="00C439A3" w:rsidRDefault="00C439A3" w:rsidP="001D7F94">
      <w:pPr>
        <w:pStyle w:val="CoverDesc"/>
        <w:rPr>
          <w:sz w:val="24"/>
        </w:rPr>
      </w:pPr>
    </w:p>
    <w:p w14:paraId="0A53F001" w14:textId="77777777" w:rsidR="00F50AFF" w:rsidRDefault="00F50AFF" w:rsidP="00BA2DE8">
      <w:pPr>
        <w:spacing w:before="120" w:after="360"/>
        <w:sectPr w:rsidR="00F50AFF">
          <w:footerReference w:type="default" r:id="rId12"/>
          <w:pgSz w:w="11909" w:h="16834" w:code="9"/>
          <w:pgMar w:top="720" w:right="1440" w:bottom="720" w:left="1440" w:header="720" w:footer="720" w:gutter="0"/>
          <w:pgNumType w:start="1"/>
          <w:cols w:space="720"/>
        </w:sectPr>
      </w:pPr>
      <w:bookmarkStart w:id="0" w:name="bkCACaveat3"/>
      <w:bookmarkEnd w:id="0"/>
    </w:p>
    <w:p w14:paraId="512B0B43" w14:textId="3B030FD0" w:rsidR="00C439A3" w:rsidRDefault="00316D29" w:rsidP="00BA2DE8">
      <w:pPr>
        <w:spacing w:before="120" w:after="360" w:line="480" w:lineRule="auto"/>
        <w:sectPr w:rsidR="00C439A3">
          <w:headerReference w:type="default" r:id="rId13"/>
          <w:footerReference w:type="default" r:id="rId14"/>
          <w:pgSz w:w="11906" w:h="16838" w:code="9"/>
          <w:pgMar w:top="1440" w:right="1440" w:bottom="1440" w:left="1440" w:header="709" w:footer="709" w:gutter="0"/>
          <w:cols w:space="708"/>
          <w:docGrid w:linePitch="360"/>
        </w:sectPr>
      </w:pPr>
      <w:r w:rsidRPr="00CC57CC">
        <w:rPr>
          <w:b/>
        </w:rPr>
        <w:lastRenderedPageBreak/>
        <w:t>Lady Justice Elisabeth Laing</w:t>
      </w:r>
      <w:r w:rsidR="00C439A3" w:rsidRPr="0025772D">
        <w:rPr>
          <w:bCs/>
        </w:rPr>
        <w:t>:</w:t>
      </w:r>
    </w:p>
    <w:p w14:paraId="39388009" w14:textId="47949FED" w:rsidR="0057488F" w:rsidRPr="0057488F" w:rsidRDefault="009D516C"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Pr>
          <w:rFonts w:ascii="Times New Roman" w:hAnsi="Times New Roman" w:cs="Times New Roman"/>
        </w:rPr>
        <w:t>T</w:t>
      </w:r>
      <w:r w:rsidR="0057488F">
        <w:rPr>
          <w:rFonts w:ascii="Times New Roman" w:hAnsi="Times New Roman" w:cs="Times New Roman"/>
        </w:rPr>
        <w:t xml:space="preserve">his is the </w:t>
      </w:r>
      <w:r w:rsidR="0057488F" w:rsidRPr="0057488F">
        <w:rPr>
          <w:rFonts w:asciiTheme="majorBidi" w:hAnsiTheme="majorBidi" w:cstheme="majorBidi"/>
        </w:rPr>
        <w:t>judgment of the Court, to which all members have contributed.</w:t>
      </w:r>
    </w:p>
    <w:p w14:paraId="1D6F7CE9" w14:textId="1282622D" w:rsidR="0057488F" w:rsidRPr="008B439B" w:rsidRDefault="00744A24" w:rsidP="00AC2BC7">
      <w:pPr>
        <w:spacing w:before="120" w:after="360"/>
        <w:rPr>
          <w:rFonts w:asciiTheme="majorBidi" w:hAnsiTheme="majorBidi" w:cstheme="majorBidi"/>
          <w:b/>
          <w:bCs/>
          <w:u w:val="single"/>
        </w:rPr>
      </w:pPr>
      <w:r>
        <w:rPr>
          <w:rFonts w:asciiTheme="majorBidi" w:hAnsiTheme="majorBidi" w:cstheme="majorBidi"/>
          <w:b/>
          <w:bCs/>
          <w:u w:val="single"/>
        </w:rPr>
        <w:t xml:space="preserve">1. </w:t>
      </w:r>
      <w:r w:rsidR="0057488F" w:rsidRPr="008B439B">
        <w:rPr>
          <w:rFonts w:asciiTheme="majorBidi" w:hAnsiTheme="majorBidi" w:cstheme="majorBidi"/>
          <w:b/>
          <w:bCs/>
          <w:u w:val="single"/>
        </w:rPr>
        <w:t>Introduction</w:t>
      </w:r>
    </w:p>
    <w:p w14:paraId="54DA3D0A" w14:textId="6114B595" w:rsidR="000A288A" w:rsidRDefault="000A288A"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57488F">
        <w:rPr>
          <w:rFonts w:asciiTheme="majorBidi" w:hAnsiTheme="majorBidi" w:cstheme="majorBidi"/>
        </w:rPr>
        <w:t xml:space="preserve">These </w:t>
      </w:r>
      <w:r w:rsidRPr="0088239D">
        <w:rPr>
          <w:rFonts w:ascii="Times New Roman" w:hAnsi="Times New Roman" w:cs="Times New Roman"/>
        </w:rPr>
        <w:t>appeals</w:t>
      </w:r>
      <w:r w:rsidRPr="0057488F">
        <w:rPr>
          <w:rFonts w:asciiTheme="majorBidi" w:hAnsiTheme="majorBidi" w:cstheme="majorBidi"/>
        </w:rPr>
        <w:t xml:space="preserve"> concern</w:t>
      </w:r>
      <w:r>
        <w:rPr>
          <w:rFonts w:ascii="Times New Roman" w:hAnsi="Times New Roman" w:cs="Times New Roman"/>
        </w:rPr>
        <w:t xml:space="preserve"> the relationship between the claims which an employee who is a ‘whistleblower’ can bring under Part V and </w:t>
      </w:r>
      <w:r w:rsidR="009319CE">
        <w:rPr>
          <w:rFonts w:ascii="Times New Roman" w:hAnsi="Times New Roman" w:cs="Times New Roman"/>
        </w:rPr>
        <w:t xml:space="preserve">Part </w:t>
      </w:r>
      <w:r>
        <w:rPr>
          <w:rFonts w:ascii="Times New Roman" w:hAnsi="Times New Roman" w:cs="Times New Roman"/>
        </w:rPr>
        <w:t>X of the Employment Rights Act 1996 (‘</w:t>
      </w:r>
      <w:r w:rsidRPr="00204BE4">
        <w:rPr>
          <w:rFonts w:asciiTheme="majorBidi" w:hAnsiTheme="majorBidi" w:cstheme="majorBidi"/>
        </w:rPr>
        <w:t>the</w:t>
      </w:r>
      <w:r>
        <w:rPr>
          <w:rFonts w:ascii="Times New Roman" w:hAnsi="Times New Roman" w:cs="Times New Roman"/>
        </w:rPr>
        <w:t xml:space="preserve"> 1996 Act’). In each </w:t>
      </w:r>
      <w:r w:rsidR="00175254">
        <w:rPr>
          <w:rFonts w:ascii="Times New Roman" w:hAnsi="Times New Roman" w:cs="Times New Roman"/>
        </w:rPr>
        <w:t>appeal</w:t>
      </w:r>
      <w:r>
        <w:rPr>
          <w:rFonts w:ascii="Times New Roman" w:hAnsi="Times New Roman" w:cs="Times New Roman"/>
        </w:rPr>
        <w:t xml:space="preserve">, the claimant had brought a claim </w:t>
      </w:r>
      <w:r w:rsidR="00C25863">
        <w:rPr>
          <w:rFonts w:ascii="Times New Roman" w:hAnsi="Times New Roman" w:cs="Times New Roman"/>
        </w:rPr>
        <w:t>against the</w:t>
      </w:r>
      <w:r w:rsidR="002979C7">
        <w:rPr>
          <w:rFonts w:ascii="Times New Roman" w:hAnsi="Times New Roman" w:cs="Times New Roman"/>
        </w:rPr>
        <w:t>ir</w:t>
      </w:r>
      <w:r w:rsidR="00C25863">
        <w:rPr>
          <w:rFonts w:ascii="Times New Roman" w:hAnsi="Times New Roman" w:cs="Times New Roman"/>
        </w:rPr>
        <w:t xml:space="preserve"> employer </w:t>
      </w:r>
      <w:r w:rsidR="00B4367C">
        <w:rPr>
          <w:rFonts w:ascii="Times New Roman" w:hAnsi="Times New Roman" w:cs="Times New Roman"/>
        </w:rPr>
        <w:t xml:space="preserve">for unfair dismissal </w:t>
      </w:r>
      <w:r>
        <w:rPr>
          <w:rFonts w:ascii="Times New Roman" w:hAnsi="Times New Roman" w:cs="Times New Roman"/>
        </w:rPr>
        <w:t xml:space="preserve">under section 103A of the 1996 Act, which falls within Part X. The question in each </w:t>
      </w:r>
      <w:r w:rsidR="00175254">
        <w:rPr>
          <w:rFonts w:ascii="Times New Roman" w:hAnsi="Times New Roman" w:cs="Times New Roman"/>
        </w:rPr>
        <w:t>case</w:t>
      </w:r>
      <w:r>
        <w:rPr>
          <w:rFonts w:ascii="Times New Roman" w:hAnsi="Times New Roman" w:cs="Times New Roman"/>
        </w:rPr>
        <w:t xml:space="preserve"> is whether an Employment Tribunal (‘ET’) erred in law in its approach to applications to amend the claims </w:t>
      </w:r>
      <w:proofErr w:type="gramStart"/>
      <w:r>
        <w:rPr>
          <w:rFonts w:ascii="Times New Roman" w:hAnsi="Times New Roman" w:cs="Times New Roman"/>
        </w:rPr>
        <w:t>so as to</w:t>
      </w:r>
      <w:proofErr w:type="gramEnd"/>
      <w:r>
        <w:rPr>
          <w:rFonts w:ascii="Times New Roman" w:hAnsi="Times New Roman" w:cs="Times New Roman"/>
        </w:rPr>
        <w:t xml:space="preserve"> add claims</w:t>
      </w:r>
      <w:r w:rsidR="00C2447F">
        <w:rPr>
          <w:rFonts w:ascii="Times New Roman" w:hAnsi="Times New Roman" w:cs="Times New Roman"/>
        </w:rPr>
        <w:t xml:space="preserve"> based on the detriment of dismissal</w:t>
      </w:r>
      <w:r>
        <w:rPr>
          <w:rFonts w:ascii="Times New Roman" w:hAnsi="Times New Roman" w:cs="Times New Roman"/>
        </w:rPr>
        <w:t xml:space="preserve"> against co-workers under section </w:t>
      </w:r>
      <w:r w:rsidR="00E3431B">
        <w:rPr>
          <w:rFonts w:ascii="Times New Roman" w:hAnsi="Times New Roman" w:cs="Times New Roman"/>
        </w:rPr>
        <w:t>47B</w:t>
      </w:r>
      <w:r>
        <w:rPr>
          <w:rFonts w:ascii="Times New Roman" w:hAnsi="Times New Roman" w:cs="Times New Roman"/>
        </w:rPr>
        <w:t xml:space="preserve">, which falls within Part V. </w:t>
      </w:r>
    </w:p>
    <w:p w14:paraId="5364853E" w14:textId="018D3F0D" w:rsidR="000A288A" w:rsidRPr="0063791C" w:rsidRDefault="000A288A"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We will </w:t>
      </w:r>
      <w:r w:rsidRPr="0088239D">
        <w:rPr>
          <w:rFonts w:asciiTheme="majorBidi" w:hAnsiTheme="majorBidi" w:cstheme="majorBidi"/>
        </w:rPr>
        <w:t>call</w:t>
      </w:r>
      <w:r>
        <w:rPr>
          <w:rFonts w:ascii="Times New Roman" w:hAnsi="Times New Roman" w:cs="Times New Roman"/>
        </w:rPr>
        <w:t xml:space="preserve"> the first appeal ‘</w:t>
      </w:r>
      <w:r>
        <w:rPr>
          <w:rFonts w:ascii="Times New Roman" w:hAnsi="Times New Roman" w:cs="Times New Roman"/>
          <w:i/>
          <w:iCs/>
        </w:rPr>
        <w:t>Wicked Vision</w:t>
      </w:r>
      <w:r>
        <w:rPr>
          <w:rFonts w:ascii="Times New Roman" w:hAnsi="Times New Roman" w:cs="Times New Roman"/>
        </w:rPr>
        <w:t>’ and the second ‘</w:t>
      </w:r>
      <w:r>
        <w:rPr>
          <w:rFonts w:ascii="Times New Roman" w:hAnsi="Times New Roman" w:cs="Times New Roman"/>
          <w:i/>
          <w:iCs/>
        </w:rPr>
        <w:t>Barton Turns</w:t>
      </w:r>
      <w:r>
        <w:rPr>
          <w:rFonts w:ascii="Times New Roman" w:hAnsi="Times New Roman" w:cs="Times New Roman"/>
        </w:rPr>
        <w:t xml:space="preserve">’. In each case, the ET reached a different legal conclusion, and on appeal to the Employment Appeal Tribunal (‘the EAT’) each appeal was allowed, leaving conflicting EAT decisions. Ground 3 of the grounds of appeal in </w:t>
      </w:r>
      <w:r>
        <w:rPr>
          <w:rFonts w:ascii="Times New Roman" w:hAnsi="Times New Roman" w:cs="Times New Roman"/>
          <w:i/>
          <w:iCs/>
        </w:rPr>
        <w:t xml:space="preserve">Barton Turns </w:t>
      </w:r>
      <w:r>
        <w:rPr>
          <w:rFonts w:ascii="Times New Roman" w:hAnsi="Times New Roman" w:cs="Times New Roman"/>
        </w:rPr>
        <w:t xml:space="preserve">raises a discrete issue about the amendments, which we will consider separately (see </w:t>
      </w:r>
      <w:r w:rsidRPr="00DB2F83">
        <w:rPr>
          <w:rFonts w:ascii="Times New Roman" w:hAnsi="Times New Roman" w:cs="Times New Roman"/>
        </w:rPr>
        <w:t>paragraphs 9</w:t>
      </w:r>
      <w:r w:rsidR="00F03143" w:rsidRPr="00DB2F83">
        <w:rPr>
          <w:rFonts w:ascii="Times New Roman" w:hAnsi="Times New Roman" w:cs="Times New Roman"/>
        </w:rPr>
        <w:t>4</w:t>
      </w:r>
      <w:r w:rsidRPr="00DB2F83">
        <w:rPr>
          <w:rFonts w:ascii="Times New Roman" w:hAnsi="Times New Roman" w:cs="Times New Roman"/>
        </w:rPr>
        <w:t>-</w:t>
      </w:r>
      <w:r w:rsidR="00F03143" w:rsidRPr="00DB2F83">
        <w:rPr>
          <w:rFonts w:ascii="Times New Roman" w:hAnsi="Times New Roman" w:cs="Times New Roman"/>
        </w:rPr>
        <w:t>100</w:t>
      </w:r>
      <w:r w:rsidRPr="00DB2F83">
        <w:rPr>
          <w:rFonts w:ascii="Times New Roman" w:hAnsi="Times New Roman" w:cs="Times New Roman"/>
        </w:rPr>
        <w:t>,</w:t>
      </w:r>
      <w:r>
        <w:rPr>
          <w:rFonts w:ascii="Times New Roman" w:hAnsi="Times New Roman" w:cs="Times New Roman"/>
        </w:rPr>
        <w:t xml:space="preserve"> below).</w:t>
      </w:r>
    </w:p>
    <w:p w14:paraId="525888D8" w14:textId="279AC46E" w:rsidR="000A288A" w:rsidRPr="00F03143" w:rsidRDefault="000A288A"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1A101A">
        <w:rPr>
          <w:rFonts w:ascii="Times New Roman" w:hAnsi="Times New Roman" w:cs="Times New Roman"/>
        </w:rPr>
        <w:t xml:space="preserve">Whether </w:t>
      </w:r>
      <w:r w:rsidRPr="00204BE4">
        <w:rPr>
          <w:rFonts w:asciiTheme="majorBidi" w:hAnsiTheme="majorBidi" w:cstheme="majorBidi"/>
        </w:rPr>
        <w:t>the</w:t>
      </w:r>
      <w:r w:rsidRPr="001A101A">
        <w:rPr>
          <w:rFonts w:ascii="Times New Roman" w:hAnsi="Times New Roman" w:cs="Times New Roman"/>
        </w:rPr>
        <w:t xml:space="preserve"> ET erred in law in its approach to the applications to amend the claims depends on </w:t>
      </w:r>
      <w:proofErr w:type="gramStart"/>
      <w:r w:rsidRPr="001A101A">
        <w:rPr>
          <w:rFonts w:ascii="Times New Roman" w:hAnsi="Times New Roman" w:cs="Times New Roman"/>
        </w:rPr>
        <w:t>whether or not</w:t>
      </w:r>
      <w:proofErr w:type="gramEnd"/>
      <w:r w:rsidRPr="001A101A">
        <w:rPr>
          <w:rFonts w:ascii="Times New Roman" w:hAnsi="Times New Roman" w:cs="Times New Roman"/>
        </w:rPr>
        <w:t xml:space="preserve"> it was bound by the decision of this court in </w:t>
      </w:r>
      <w:r w:rsidRPr="001A101A">
        <w:rPr>
          <w:rFonts w:ascii="Times New Roman" w:hAnsi="Times New Roman" w:cs="Times New Roman"/>
          <w:i/>
          <w:iCs/>
        </w:rPr>
        <w:t xml:space="preserve">Timis v Osipov </w:t>
      </w:r>
      <w:r w:rsidRPr="001A101A">
        <w:rPr>
          <w:rFonts w:ascii="Times New Roman" w:hAnsi="Times New Roman" w:cs="Times New Roman"/>
        </w:rPr>
        <w:t xml:space="preserve">[2018] EWCA </w:t>
      </w:r>
      <w:proofErr w:type="spellStart"/>
      <w:r w:rsidRPr="001A101A">
        <w:rPr>
          <w:rFonts w:ascii="Times New Roman" w:hAnsi="Times New Roman" w:cs="Times New Roman"/>
        </w:rPr>
        <w:t>Civ</w:t>
      </w:r>
      <w:proofErr w:type="spellEnd"/>
      <w:r w:rsidRPr="001A101A">
        <w:rPr>
          <w:rFonts w:ascii="Times New Roman" w:hAnsi="Times New Roman" w:cs="Times New Roman"/>
        </w:rPr>
        <w:t xml:space="preserve"> 2321; [2019] ICR 655 (‘</w:t>
      </w:r>
      <w:r w:rsidRPr="001A101A">
        <w:rPr>
          <w:rFonts w:ascii="Times New Roman" w:hAnsi="Times New Roman" w:cs="Times New Roman"/>
          <w:i/>
          <w:iCs/>
        </w:rPr>
        <w:t>Osipov</w:t>
      </w:r>
      <w:r w:rsidRPr="001A101A">
        <w:rPr>
          <w:rFonts w:ascii="Times New Roman" w:hAnsi="Times New Roman" w:cs="Times New Roman"/>
        </w:rPr>
        <w:t xml:space="preserve">’). For the reasons given below, we have decided that the ETs were bound by </w:t>
      </w:r>
      <w:r w:rsidRPr="001A101A">
        <w:rPr>
          <w:rFonts w:ascii="Times New Roman" w:hAnsi="Times New Roman" w:cs="Times New Roman"/>
          <w:i/>
          <w:iCs/>
        </w:rPr>
        <w:t>Osipov</w:t>
      </w:r>
      <w:r>
        <w:rPr>
          <w:rFonts w:ascii="Times New Roman" w:hAnsi="Times New Roman" w:cs="Times New Roman"/>
          <w:i/>
          <w:iCs/>
        </w:rPr>
        <w:t xml:space="preserve"> </w:t>
      </w:r>
      <w:r>
        <w:rPr>
          <w:rFonts w:ascii="Times New Roman" w:hAnsi="Times New Roman" w:cs="Times New Roman"/>
        </w:rPr>
        <w:t>and that, s</w:t>
      </w:r>
      <w:r w:rsidRPr="001A101A">
        <w:rPr>
          <w:rFonts w:ascii="Times New Roman" w:hAnsi="Times New Roman" w:cs="Times New Roman"/>
        </w:rPr>
        <w:t>ubject</w:t>
      </w:r>
      <w:r>
        <w:rPr>
          <w:rFonts w:ascii="Times New Roman" w:hAnsi="Times New Roman" w:cs="Times New Roman"/>
        </w:rPr>
        <w:t xml:space="preserve"> </w:t>
      </w:r>
      <w:r w:rsidRPr="001A101A">
        <w:rPr>
          <w:rFonts w:ascii="Times New Roman" w:hAnsi="Times New Roman" w:cs="Times New Roman"/>
        </w:rPr>
        <w:t xml:space="preserve">to any relevant differences on the facts (such as time limits) they should </w:t>
      </w:r>
      <w:r>
        <w:rPr>
          <w:rFonts w:ascii="Times New Roman" w:hAnsi="Times New Roman" w:cs="Times New Roman"/>
        </w:rPr>
        <w:t xml:space="preserve">therefore </w:t>
      </w:r>
      <w:r w:rsidRPr="001A101A">
        <w:rPr>
          <w:rFonts w:ascii="Times New Roman" w:hAnsi="Times New Roman" w:cs="Times New Roman"/>
        </w:rPr>
        <w:t xml:space="preserve">have allowed the applications to amend the claims. Further, for the reasons given below, we have decided that we are </w:t>
      </w:r>
      <w:r w:rsidR="003146A1">
        <w:rPr>
          <w:rFonts w:ascii="Times New Roman" w:hAnsi="Times New Roman" w:cs="Times New Roman"/>
        </w:rPr>
        <w:t>ourselves</w:t>
      </w:r>
      <w:r>
        <w:rPr>
          <w:rFonts w:ascii="Times New Roman" w:hAnsi="Times New Roman" w:cs="Times New Roman"/>
        </w:rPr>
        <w:t xml:space="preserve"> </w:t>
      </w:r>
      <w:r w:rsidRPr="001A101A">
        <w:rPr>
          <w:rFonts w:ascii="Times New Roman" w:hAnsi="Times New Roman" w:cs="Times New Roman"/>
        </w:rPr>
        <w:t xml:space="preserve">bound by </w:t>
      </w:r>
      <w:r w:rsidRPr="001A101A">
        <w:rPr>
          <w:rFonts w:ascii="Times New Roman" w:hAnsi="Times New Roman" w:cs="Times New Roman"/>
          <w:i/>
          <w:iCs/>
        </w:rPr>
        <w:t>Osipov</w:t>
      </w:r>
      <w:r w:rsidRPr="001A101A">
        <w:rPr>
          <w:rFonts w:ascii="Times New Roman" w:hAnsi="Times New Roman" w:cs="Times New Roman"/>
        </w:rPr>
        <w:t xml:space="preserve">. Had we been free to depart from that decision, which we are not, we would have </w:t>
      </w:r>
      <w:r w:rsidR="003146A1">
        <w:rPr>
          <w:rFonts w:ascii="Times New Roman" w:hAnsi="Times New Roman" w:cs="Times New Roman"/>
        </w:rPr>
        <w:t>done so</w:t>
      </w:r>
      <w:r w:rsidRPr="001A101A">
        <w:rPr>
          <w:rFonts w:ascii="Times New Roman" w:hAnsi="Times New Roman" w:cs="Times New Roman"/>
        </w:rPr>
        <w:t xml:space="preserve">, as we </w:t>
      </w:r>
      <w:r>
        <w:rPr>
          <w:rFonts w:ascii="Times New Roman" w:hAnsi="Times New Roman" w:cs="Times New Roman"/>
        </w:rPr>
        <w:t>respectfully disagree with</w:t>
      </w:r>
      <w:r w:rsidR="003146A1">
        <w:rPr>
          <w:rFonts w:ascii="Times New Roman" w:hAnsi="Times New Roman" w:cs="Times New Roman"/>
        </w:rPr>
        <w:t xml:space="preserve"> its </w:t>
      </w:r>
      <w:r w:rsidRPr="00F03143">
        <w:rPr>
          <w:rFonts w:ascii="Times New Roman" w:hAnsi="Times New Roman" w:cs="Times New Roman"/>
        </w:rPr>
        <w:t xml:space="preserve">interpretation of the legislation. </w:t>
      </w:r>
    </w:p>
    <w:p w14:paraId="2986A0D5" w14:textId="4A126303" w:rsidR="000A288A" w:rsidRPr="00F03143" w:rsidRDefault="000A288A"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F03143">
        <w:rPr>
          <w:rFonts w:ascii="Times New Roman" w:hAnsi="Times New Roman" w:cs="Times New Roman"/>
        </w:rPr>
        <w:t xml:space="preserve">We </w:t>
      </w:r>
      <w:r w:rsidRPr="00F03143">
        <w:rPr>
          <w:rFonts w:asciiTheme="majorBidi" w:hAnsiTheme="majorBidi" w:cstheme="majorBidi"/>
        </w:rPr>
        <w:t>will</w:t>
      </w:r>
      <w:r w:rsidRPr="00F03143">
        <w:rPr>
          <w:rFonts w:ascii="Times New Roman" w:hAnsi="Times New Roman" w:cs="Times New Roman"/>
        </w:rPr>
        <w:t xml:space="preserve"> start this judgment with </w:t>
      </w:r>
      <w:proofErr w:type="gramStart"/>
      <w:r w:rsidRPr="00F03143">
        <w:rPr>
          <w:rFonts w:ascii="Times New Roman" w:hAnsi="Times New Roman" w:cs="Times New Roman"/>
        </w:rPr>
        <w:t>a brief summary</w:t>
      </w:r>
      <w:proofErr w:type="gramEnd"/>
      <w:r w:rsidRPr="00F03143">
        <w:rPr>
          <w:rFonts w:ascii="Times New Roman" w:hAnsi="Times New Roman" w:cs="Times New Roman"/>
        </w:rPr>
        <w:t xml:space="preserve"> of the facts in each appeal</w:t>
      </w:r>
      <w:r w:rsidR="00744A24" w:rsidRPr="00F03143">
        <w:rPr>
          <w:rFonts w:ascii="Times New Roman" w:hAnsi="Times New Roman" w:cs="Times New Roman"/>
        </w:rPr>
        <w:t xml:space="preserve"> (section 2</w:t>
      </w:r>
      <w:r w:rsidR="004C3BE7" w:rsidRPr="00F03143">
        <w:rPr>
          <w:rFonts w:ascii="Times New Roman" w:hAnsi="Times New Roman" w:cs="Times New Roman"/>
        </w:rPr>
        <w:t xml:space="preserve"> below</w:t>
      </w:r>
      <w:r w:rsidR="00744A24" w:rsidRPr="00F03143">
        <w:rPr>
          <w:rFonts w:ascii="Times New Roman" w:hAnsi="Times New Roman" w:cs="Times New Roman"/>
        </w:rPr>
        <w:t>)</w:t>
      </w:r>
      <w:r w:rsidRPr="00F03143">
        <w:rPr>
          <w:rFonts w:ascii="Times New Roman" w:hAnsi="Times New Roman" w:cs="Times New Roman"/>
        </w:rPr>
        <w:t xml:space="preserve">. We will describe the </w:t>
      </w:r>
      <w:proofErr w:type="gramStart"/>
      <w:r w:rsidRPr="00F03143">
        <w:rPr>
          <w:rFonts w:ascii="Times New Roman" w:hAnsi="Times New Roman" w:cs="Times New Roman"/>
        </w:rPr>
        <w:t>legislation, a</w:t>
      </w:r>
      <w:r w:rsidR="00DB4227" w:rsidRPr="00F03143">
        <w:rPr>
          <w:rFonts w:ascii="Times New Roman" w:hAnsi="Times New Roman" w:cs="Times New Roman"/>
        </w:rPr>
        <w:t>nd</w:t>
      </w:r>
      <w:proofErr w:type="gramEnd"/>
      <w:r w:rsidR="00DB4227" w:rsidRPr="00F03143">
        <w:rPr>
          <w:rFonts w:ascii="Times New Roman" w:hAnsi="Times New Roman" w:cs="Times New Roman"/>
        </w:rPr>
        <w:t xml:space="preserve"> refer to two earlier de</w:t>
      </w:r>
      <w:r w:rsidRPr="00F03143">
        <w:rPr>
          <w:rFonts w:ascii="Times New Roman" w:hAnsi="Times New Roman" w:cs="Times New Roman"/>
        </w:rPr>
        <w:t>cisions of this court</w:t>
      </w:r>
      <w:r w:rsidR="002A26F6" w:rsidRPr="00F03143">
        <w:rPr>
          <w:rFonts w:ascii="Times New Roman" w:hAnsi="Times New Roman" w:cs="Times New Roman"/>
        </w:rPr>
        <w:t xml:space="preserve"> (section </w:t>
      </w:r>
      <w:r w:rsidR="00BC395B" w:rsidRPr="00F03143">
        <w:rPr>
          <w:rFonts w:ascii="Times New Roman" w:hAnsi="Times New Roman" w:cs="Times New Roman"/>
        </w:rPr>
        <w:t>3</w:t>
      </w:r>
      <w:r w:rsidR="002A26F6" w:rsidRPr="00F03143">
        <w:rPr>
          <w:rFonts w:ascii="Times New Roman" w:hAnsi="Times New Roman" w:cs="Times New Roman"/>
        </w:rPr>
        <w:t>)</w:t>
      </w:r>
      <w:r w:rsidRPr="00F03143">
        <w:rPr>
          <w:rFonts w:ascii="Times New Roman" w:hAnsi="Times New Roman" w:cs="Times New Roman"/>
        </w:rPr>
        <w:t xml:space="preserve">. </w:t>
      </w:r>
      <w:r w:rsidR="0007138E" w:rsidRPr="00F03143">
        <w:rPr>
          <w:rFonts w:ascii="Times New Roman" w:hAnsi="Times New Roman" w:cs="Times New Roman"/>
        </w:rPr>
        <w:t>We</w:t>
      </w:r>
      <w:r w:rsidRPr="00F03143">
        <w:rPr>
          <w:rFonts w:ascii="Times New Roman" w:hAnsi="Times New Roman" w:cs="Times New Roman"/>
        </w:rPr>
        <w:t xml:space="preserve"> will </w:t>
      </w:r>
      <w:r w:rsidR="0007138E" w:rsidRPr="00F03143">
        <w:rPr>
          <w:rFonts w:ascii="Times New Roman" w:hAnsi="Times New Roman" w:cs="Times New Roman"/>
        </w:rPr>
        <w:t xml:space="preserve">next </w:t>
      </w:r>
      <w:r w:rsidRPr="00F03143">
        <w:rPr>
          <w:rFonts w:ascii="Times New Roman" w:hAnsi="Times New Roman" w:cs="Times New Roman"/>
        </w:rPr>
        <w:t xml:space="preserve">summarise the reasoning in </w:t>
      </w:r>
      <w:r w:rsidRPr="00F03143">
        <w:rPr>
          <w:rFonts w:ascii="Times New Roman" w:hAnsi="Times New Roman" w:cs="Times New Roman"/>
          <w:i/>
          <w:iCs/>
        </w:rPr>
        <w:t>Osipov</w:t>
      </w:r>
      <w:r w:rsidR="002A26F6" w:rsidRPr="00F03143">
        <w:rPr>
          <w:rFonts w:ascii="Times New Roman" w:hAnsi="Times New Roman" w:cs="Times New Roman"/>
        </w:rPr>
        <w:t xml:space="preserve"> (section </w:t>
      </w:r>
      <w:r w:rsidR="00070249" w:rsidRPr="00F03143">
        <w:rPr>
          <w:rFonts w:ascii="Times New Roman" w:hAnsi="Times New Roman" w:cs="Times New Roman"/>
        </w:rPr>
        <w:t>4</w:t>
      </w:r>
      <w:r w:rsidR="002A26F6" w:rsidRPr="00F03143">
        <w:rPr>
          <w:rFonts w:ascii="Times New Roman" w:hAnsi="Times New Roman" w:cs="Times New Roman"/>
        </w:rPr>
        <w:t>)</w:t>
      </w:r>
      <w:r w:rsidRPr="00F03143">
        <w:rPr>
          <w:rFonts w:ascii="Times New Roman" w:hAnsi="Times New Roman" w:cs="Times New Roman"/>
        </w:rPr>
        <w:t>. We will then</w:t>
      </w:r>
      <w:r w:rsidR="0007138E" w:rsidRPr="00F03143">
        <w:rPr>
          <w:rFonts w:ascii="Times New Roman" w:hAnsi="Times New Roman" w:cs="Times New Roman"/>
        </w:rPr>
        <w:t xml:space="preserve"> set out our own </w:t>
      </w:r>
      <w:r w:rsidR="00801E14" w:rsidRPr="00F03143">
        <w:rPr>
          <w:rFonts w:ascii="Times New Roman" w:hAnsi="Times New Roman" w:cs="Times New Roman"/>
        </w:rPr>
        <w:t>construction</w:t>
      </w:r>
      <w:r w:rsidR="007D562A" w:rsidRPr="00F03143">
        <w:rPr>
          <w:rFonts w:ascii="Times New Roman" w:hAnsi="Times New Roman" w:cs="Times New Roman"/>
        </w:rPr>
        <w:t xml:space="preserve"> </w:t>
      </w:r>
      <w:r w:rsidR="00801E14" w:rsidRPr="00F03143">
        <w:rPr>
          <w:rFonts w:ascii="Times New Roman" w:hAnsi="Times New Roman" w:cs="Times New Roman"/>
        </w:rPr>
        <w:t xml:space="preserve">of the legislation and explain why we differ from the  </w:t>
      </w:r>
      <w:r w:rsidRPr="00F03143">
        <w:rPr>
          <w:rFonts w:ascii="Times New Roman" w:hAnsi="Times New Roman" w:cs="Times New Roman"/>
        </w:rPr>
        <w:t xml:space="preserve"> </w:t>
      </w:r>
      <w:r w:rsidR="007D562A" w:rsidRPr="00F03143">
        <w:rPr>
          <w:rFonts w:ascii="Times New Roman" w:hAnsi="Times New Roman" w:cs="Times New Roman"/>
        </w:rPr>
        <w:t xml:space="preserve">interpretation </w:t>
      </w:r>
      <w:r w:rsidR="00435887" w:rsidRPr="00F03143">
        <w:rPr>
          <w:rFonts w:ascii="Times New Roman" w:hAnsi="Times New Roman" w:cs="Times New Roman"/>
        </w:rPr>
        <w:t>contained</w:t>
      </w:r>
      <w:r w:rsidR="007D562A" w:rsidRPr="00F03143">
        <w:rPr>
          <w:rFonts w:ascii="Times New Roman" w:hAnsi="Times New Roman" w:cs="Times New Roman"/>
        </w:rPr>
        <w:t xml:space="preserve"> in </w:t>
      </w:r>
      <w:r w:rsidRPr="00F03143">
        <w:rPr>
          <w:rFonts w:ascii="Times New Roman" w:hAnsi="Times New Roman" w:cs="Times New Roman"/>
          <w:i/>
          <w:iCs/>
        </w:rPr>
        <w:t>Osipov</w:t>
      </w:r>
      <w:r w:rsidRPr="00F03143">
        <w:rPr>
          <w:rFonts w:ascii="Times New Roman" w:hAnsi="Times New Roman" w:cs="Times New Roman"/>
        </w:rPr>
        <w:t xml:space="preserve"> </w:t>
      </w:r>
      <w:r w:rsidR="002A26F6" w:rsidRPr="00F03143">
        <w:rPr>
          <w:rFonts w:ascii="Times New Roman" w:hAnsi="Times New Roman" w:cs="Times New Roman"/>
        </w:rPr>
        <w:t xml:space="preserve">(section </w:t>
      </w:r>
      <w:r w:rsidR="00070249" w:rsidRPr="00F03143">
        <w:rPr>
          <w:rFonts w:ascii="Times New Roman" w:hAnsi="Times New Roman" w:cs="Times New Roman"/>
        </w:rPr>
        <w:t>5</w:t>
      </w:r>
      <w:r w:rsidR="002A26F6" w:rsidRPr="00F03143">
        <w:rPr>
          <w:rFonts w:ascii="Times New Roman" w:hAnsi="Times New Roman" w:cs="Times New Roman"/>
        </w:rPr>
        <w:t>)</w:t>
      </w:r>
      <w:r w:rsidRPr="00F03143">
        <w:rPr>
          <w:rFonts w:ascii="Times New Roman" w:hAnsi="Times New Roman" w:cs="Times New Roman"/>
        </w:rPr>
        <w:t>.</w:t>
      </w:r>
      <w:r w:rsidR="004C3BE7" w:rsidRPr="00F03143">
        <w:rPr>
          <w:rFonts w:ascii="Times New Roman" w:hAnsi="Times New Roman" w:cs="Times New Roman"/>
        </w:rPr>
        <w:t xml:space="preserve"> </w:t>
      </w:r>
      <w:r w:rsidR="007D562A" w:rsidRPr="00F03143">
        <w:rPr>
          <w:rFonts w:ascii="Times New Roman" w:hAnsi="Times New Roman" w:cs="Times New Roman"/>
        </w:rPr>
        <w:t xml:space="preserve">In section 6 we will explain why we are bound by </w:t>
      </w:r>
      <w:proofErr w:type="gramStart"/>
      <w:r w:rsidR="007D562A" w:rsidRPr="00F03143">
        <w:rPr>
          <w:rFonts w:ascii="Times New Roman" w:hAnsi="Times New Roman" w:cs="Times New Roman"/>
          <w:i/>
          <w:iCs/>
        </w:rPr>
        <w:t>Osipov</w:t>
      </w:r>
      <w:r w:rsidR="007D562A" w:rsidRPr="00F03143">
        <w:rPr>
          <w:rFonts w:ascii="Times New Roman" w:hAnsi="Times New Roman" w:cs="Times New Roman"/>
        </w:rPr>
        <w:t>, and</w:t>
      </w:r>
      <w:proofErr w:type="gramEnd"/>
      <w:r w:rsidR="007D562A" w:rsidRPr="00F03143">
        <w:rPr>
          <w:rFonts w:ascii="Times New Roman" w:hAnsi="Times New Roman" w:cs="Times New Roman"/>
        </w:rPr>
        <w:t xml:space="preserve"> </w:t>
      </w:r>
      <w:r w:rsidR="008A4180" w:rsidRPr="00F03143">
        <w:rPr>
          <w:rFonts w:ascii="Times New Roman" w:hAnsi="Times New Roman" w:cs="Times New Roman"/>
        </w:rPr>
        <w:t xml:space="preserve">identify </w:t>
      </w:r>
      <w:r w:rsidR="007D562A" w:rsidRPr="00F03143">
        <w:rPr>
          <w:rFonts w:ascii="Times New Roman" w:hAnsi="Times New Roman" w:cs="Times New Roman"/>
        </w:rPr>
        <w:t>the conse</w:t>
      </w:r>
      <w:r w:rsidR="007D562A" w:rsidRPr="00570E0C">
        <w:rPr>
          <w:rFonts w:ascii="Times New Roman" w:hAnsi="Times New Roman" w:cs="Times New Roman"/>
        </w:rPr>
        <w:t xml:space="preserve">quences </w:t>
      </w:r>
      <w:r w:rsidR="008A4180" w:rsidRPr="00570E0C">
        <w:rPr>
          <w:rFonts w:ascii="Times New Roman" w:hAnsi="Times New Roman" w:cs="Times New Roman"/>
        </w:rPr>
        <w:t xml:space="preserve">for </w:t>
      </w:r>
      <w:r w:rsidR="007D562A" w:rsidRPr="00570E0C">
        <w:rPr>
          <w:rFonts w:ascii="Times New Roman" w:hAnsi="Times New Roman" w:cs="Times New Roman"/>
        </w:rPr>
        <w:t>the present appeals</w:t>
      </w:r>
      <w:r w:rsidR="0092581C" w:rsidRPr="00570E0C">
        <w:rPr>
          <w:rFonts w:ascii="Times New Roman" w:hAnsi="Times New Roman" w:cs="Times New Roman"/>
        </w:rPr>
        <w:t>.</w:t>
      </w:r>
      <w:r w:rsidR="007D562A" w:rsidRPr="00570E0C">
        <w:rPr>
          <w:rFonts w:ascii="Times New Roman" w:hAnsi="Times New Roman" w:cs="Times New Roman"/>
        </w:rPr>
        <w:t xml:space="preserve"> </w:t>
      </w:r>
      <w:r w:rsidR="0092581C" w:rsidRPr="00570E0C">
        <w:rPr>
          <w:rFonts w:ascii="Times New Roman" w:hAnsi="Times New Roman" w:cs="Times New Roman"/>
        </w:rPr>
        <w:t xml:space="preserve"> </w:t>
      </w:r>
      <w:r w:rsidR="004C3BE7" w:rsidRPr="00570E0C">
        <w:rPr>
          <w:rFonts w:ascii="Times New Roman" w:hAnsi="Times New Roman" w:cs="Times New Roman"/>
        </w:rPr>
        <w:t xml:space="preserve">We </w:t>
      </w:r>
      <w:r w:rsidR="0092581C" w:rsidRPr="00570E0C">
        <w:rPr>
          <w:rFonts w:ascii="Times New Roman" w:hAnsi="Times New Roman" w:cs="Times New Roman"/>
        </w:rPr>
        <w:t xml:space="preserve">deal, </w:t>
      </w:r>
      <w:r w:rsidR="00DF4E42" w:rsidRPr="00570E0C">
        <w:rPr>
          <w:rFonts w:ascii="Times New Roman" w:hAnsi="Times New Roman" w:cs="Times New Roman"/>
        </w:rPr>
        <w:t>finally</w:t>
      </w:r>
      <w:r w:rsidR="0092581C" w:rsidRPr="00570E0C">
        <w:rPr>
          <w:rFonts w:ascii="Times New Roman" w:hAnsi="Times New Roman" w:cs="Times New Roman"/>
        </w:rPr>
        <w:t>,</w:t>
      </w:r>
      <w:r w:rsidR="00DF4E42" w:rsidRPr="00570E0C">
        <w:rPr>
          <w:rFonts w:ascii="Times New Roman" w:hAnsi="Times New Roman" w:cs="Times New Roman"/>
        </w:rPr>
        <w:t xml:space="preserve"> </w:t>
      </w:r>
      <w:r w:rsidR="00BA683A" w:rsidRPr="00570E0C">
        <w:rPr>
          <w:rFonts w:ascii="Times New Roman" w:hAnsi="Times New Roman" w:cs="Times New Roman"/>
        </w:rPr>
        <w:t xml:space="preserve">in section 7, </w:t>
      </w:r>
      <w:r w:rsidR="004C3BE7" w:rsidRPr="00570E0C">
        <w:rPr>
          <w:rFonts w:ascii="Times New Roman" w:hAnsi="Times New Roman" w:cs="Times New Roman"/>
        </w:rPr>
        <w:t xml:space="preserve">with </w:t>
      </w:r>
      <w:r w:rsidR="00F27910" w:rsidRPr="00570E0C">
        <w:rPr>
          <w:rFonts w:ascii="Times New Roman" w:hAnsi="Times New Roman" w:cs="Times New Roman"/>
        </w:rPr>
        <w:t>the</w:t>
      </w:r>
      <w:r w:rsidR="004C3BE7" w:rsidRPr="00570E0C">
        <w:rPr>
          <w:rFonts w:ascii="Times New Roman" w:hAnsi="Times New Roman" w:cs="Times New Roman"/>
        </w:rPr>
        <w:t xml:space="preserve"> discrete point </w:t>
      </w:r>
      <w:r w:rsidR="004C3BE7" w:rsidRPr="00F03143">
        <w:rPr>
          <w:rFonts w:ascii="Times New Roman" w:hAnsi="Times New Roman" w:cs="Times New Roman"/>
        </w:rPr>
        <w:t>arising in</w:t>
      </w:r>
      <w:r w:rsidR="00AB437F" w:rsidRPr="00F03143">
        <w:rPr>
          <w:rFonts w:ascii="Times New Roman" w:hAnsi="Times New Roman" w:cs="Times New Roman"/>
        </w:rPr>
        <w:t xml:space="preserve"> the</w:t>
      </w:r>
      <w:r w:rsidR="004C3BE7" w:rsidRPr="00F03143">
        <w:rPr>
          <w:rFonts w:ascii="Times New Roman" w:hAnsi="Times New Roman" w:cs="Times New Roman"/>
        </w:rPr>
        <w:t xml:space="preserve"> </w:t>
      </w:r>
      <w:r w:rsidR="004C3BE7" w:rsidRPr="00F03143">
        <w:rPr>
          <w:rFonts w:ascii="Times New Roman" w:hAnsi="Times New Roman" w:cs="Times New Roman"/>
          <w:i/>
          <w:iCs/>
        </w:rPr>
        <w:t>Barton Turns</w:t>
      </w:r>
      <w:r w:rsidR="004C3BE7" w:rsidRPr="00F03143">
        <w:rPr>
          <w:rFonts w:ascii="Times New Roman" w:hAnsi="Times New Roman" w:cs="Times New Roman"/>
        </w:rPr>
        <w:t xml:space="preserve"> </w:t>
      </w:r>
      <w:r w:rsidR="00AB437F" w:rsidRPr="00F03143">
        <w:rPr>
          <w:rFonts w:ascii="Times New Roman" w:hAnsi="Times New Roman" w:cs="Times New Roman"/>
        </w:rPr>
        <w:t>appeal</w:t>
      </w:r>
      <w:r w:rsidR="004C3BE7" w:rsidRPr="00F03143">
        <w:rPr>
          <w:rFonts w:ascii="Times New Roman" w:hAnsi="Times New Roman" w:cs="Times New Roman"/>
        </w:rPr>
        <w:t>.</w:t>
      </w:r>
    </w:p>
    <w:p w14:paraId="2E7AD093" w14:textId="20A42D1C" w:rsidR="0089554B" w:rsidRPr="008E32B1" w:rsidRDefault="000A288A" w:rsidP="00AC2BC7">
      <w:pPr>
        <w:pStyle w:val="ListParagraph"/>
        <w:numPr>
          <w:ilvl w:val="0"/>
          <w:numId w:val="11"/>
        </w:numPr>
        <w:spacing w:before="120" w:after="360" w:line="240" w:lineRule="auto"/>
        <w:ind w:hanging="720"/>
        <w:contextualSpacing w:val="0"/>
        <w:jc w:val="both"/>
      </w:pPr>
      <w:r w:rsidRPr="00F23811">
        <w:rPr>
          <w:rFonts w:ascii="Times New Roman" w:hAnsi="Times New Roman" w:cs="Times New Roman"/>
        </w:rPr>
        <w:t xml:space="preserve">In </w:t>
      </w:r>
      <w:r w:rsidRPr="00472A40">
        <w:rPr>
          <w:rFonts w:ascii="Times New Roman" w:hAnsi="Times New Roman" w:cs="Times New Roman"/>
          <w:i/>
          <w:iCs/>
        </w:rPr>
        <w:t xml:space="preserve">Wicked Vision </w:t>
      </w:r>
      <w:r w:rsidRPr="00AA20EC">
        <w:rPr>
          <w:rFonts w:ascii="Times New Roman" w:hAnsi="Times New Roman" w:cs="Times New Roman"/>
        </w:rPr>
        <w:t xml:space="preserve">Mr Solomon </w:t>
      </w:r>
      <w:r w:rsidRPr="00204BE4">
        <w:rPr>
          <w:rFonts w:asciiTheme="majorBidi" w:hAnsiTheme="majorBidi" w:cstheme="majorBidi"/>
        </w:rPr>
        <w:t>KC</w:t>
      </w:r>
      <w:r w:rsidRPr="00AA20EC">
        <w:rPr>
          <w:rFonts w:ascii="Times New Roman" w:hAnsi="Times New Roman" w:cs="Times New Roman"/>
        </w:rPr>
        <w:t xml:space="preserve"> and Mr Milsom</w:t>
      </w:r>
      <w:r w:rsidR="00B221C3">
        <w:rPr>
          <w:rFonts w:ascii="Times New Roman" w:hAnsi="Times New Roman" w:cs="Times New Roman"/>
        </w:rPr>
        <w:t xml:space="preserve"> and Ms Sandiford</w:t>
      </w:r>
      <w:r>
        <w:rPr>
          <w:rFonts w:ascii="Times New Roman" w:hAnsi="Times New Roman" w:cs="Times New Roman"/>
        </w:rPr>
        <w:t xml:space="preserve"> represented the appellant employee, Mr Rice, while M</w:t>
      </w:r>
      <w:r w:rsidRPr="00F23811">
        <w:rPr>
          <w:rFonts w:ascii="Times New Roman" w:hAnsi="Times New Roman" w:cs="Times New Roman"/>
        </w:rPr>
        <w:t xml:space="preserve">s </w:t>
      </w:r>
      <w:proofErr w:type="spellStart"/>
      <w:r w:rsidRPr="00F23811">
        <w:rPr>
          <w:rFonts w:ascii="Times New Roman" w:hAnsi="Times New Roman" w:cs="Times New Roman"/>
        </w:rPr>
        <w:t>Motraghi</w:t>
      </w:r>
      <w:proofErr w:type="spellEnd"/>
      <w:r w:rsidRPr="00F23811">
        <w:rPr>
          <w:rFonts w:ascii="Times New Roman" w:hAnsi="Times New Roman" w:cs="Times New Roman"/>
        </w:rPr>
        <w:t xml:space="preserve"> KC and Mr </w:t>
      </w:r>
      <w:proofErr w:type="spellStart"/>
      <w:r w:rsidRPr="00F23811">
        <w:rPr>
          <w:rFonts w:ascii="Times New Roman" w:hAnsi="Times New Roman" w:cs="Times New Roman"/>
        </w:rPr>
        <w:t>Kohanzad</w:t>
      </w:r>
      <w:proofErr w:type="spellEnd"/>
      <w:r w:rsidRPr="00F23811">
        <w:rPr>
          <w:rFonts w:ascii="Times New Roman" w:hAnsi="Times New Roman" w:cs="Times New Roman"/>
        </w:rPr>
        <w:t xml:space="preserve"> </w:t>
      </w:r>
      <w:r w:rsidR="00B221C3">
        <w:rPr>
          <w:rFonts w:ascii="Times New Roman" w:hAnsi="Times New Roman" w:cs="Times New Roman"/>
        </w:rPr>
        <w:t xml:space="preserve">and Ms van den Berg </w:t>
      </w:r>
      <w:r>
        <w:rPr>
          <w:rFonts w:ascii="Times New Roman" w:hAnsi="Times New Roman" w:cs="Times New Roman"/>
        </w:rPr>
        <w:t xml:space="preserve">represented the respondent employer. In </w:t>
      </w:r>
      <w:r w:rsidRPr="00472A40">
        <w:rPr>
          <w:rFonts w:ascii="Times New Roman" w:hAnsi="Times New Roman" w:cs="Times New Roman"/>
          <w:i/>
          <w:iCs/>
        </w:rPr>
        <w:t>Barton Turns</w:t>
      </w:r>
      <w:r w:rsidRPr="00AA20EC">
        <w:rPr>
          <w:rFonts w:ascii="Times New Roman" w:hAnsi="Times New Roman" w:cs="Times New Roman"/>
        </w:rPr>
        <w:t xml:space="preserve"> </w:t>
      </w:r>
      <w:r>
        <w:rPr>
          <w:rFonts w:ascii="Times New Roman" w:hAnsi="Times New Roman" w:cs="Times New Roman"/>
        </w:rPr>
        <w:t xml:space="preserve">Mr </w:t>
      </w:r>
      <w:r w:rsidRPr="00AA20EC">
        <w:rPr>
          <w:rFonts w:ascii="Times New Roman" w:hAnsi="Times New Roman" w:cs="Times New Roman"/>
        </w:rPr>
        <w:t>Bidnell-Edwards</w:t>
      </w:r>
      <w:r>
        <w:rPr>
          <w:rFonts w:ascii="Times New Roman" w:hAnsi="Times New Roman" w:cs="Times New Roman"/>
        </w:rPr>
        <w:t xml:space="preserve"> represented the appellant employer, while Mr </w:t>
      </w:r>
      <w:r w:rsidRPr="00C93D46">
        <w:rPr>
          <w:rFonts w:ascii="Times New Roman" w:hAnsi="Times New Roman" w:cs="Times New Roman"/>
        </w:rPr>
        <w:t>Jupp KC</w:t>
      </w:r>
      <w:r>
        <w:rPr>
          <w:rFonts w:ascii="Times New Roman" w:hAnsi="Times New Roman" w:cs="Times New Roman"/>
        </w:rPr>
        <w:t xml:space="preserve"> and Mr Canning represented the respondent employee, Ms Treadwell. </w:t>
      </w:r>
      <w:r w:rsidR="001D694F">
        <w:rPr>
          <w:rFonts w:ascii="Times New Roman" w:hAnsi="Times New Roman" w:cs="Times New Roman"/>
        </w:rPr>
        <w:t>Permission to appeal was granted i</w:t>
      </w:r>
      <w:r>
        <w:rPr>
          <w:rFonts w:ascii="Times New Roman" w:hAnsi="Times New Roman" w:cs="Times New Roman"/>
        </w:rPr>
        <w:t>n both appeals</w:t>
      </w:r>
      <w:r w:rsidR="001D694F">
        <w:rPr>
          <w:rFonts w:ascii="Times New Roman" w:hAnsi="Times New Roman" w:cs="Times New Roman"/>
        </w:rPr>
        <w:t xml:space="preserve"> by </w:t>
      </w:r>
      <w:r>
        <w:rPr>
          <w:rFonts w:ascii="Times New Roman" w:hAnsi="Times New Roman" w:cs="Times New Roman"/>
        </w:rPr>
        <w:t>Bean LJ</w:t>
      </w:r>
      <w:r w:rsidR="001D694F">
        <w:rPr>
          <w:rFonts w:ascii="Times New Roman" w:hAnsi="Times New Roman" w:cs="Times New Roman"/>
        </w:rPr>
        <w:t xml:space="preserve">, who also </w:t>
      </w:r>
      <w:r w:rsidR="00060612">
        <w:rPr>
          <w:rFonts w:ascii="Times New Roman" w:hAnsi="Times New Roman" w:cs="Times New Roman"/>
        </w:rPr>
        <w:t xml:space="preserve">permitted </w:t>
      </w:r>
      <w:r>
        <w:rPr>
          <w:rFonts w:ascii="Times New Roman" w:hAnsi="Times New Roman" w:cs="Times New Roman"/>
        </w:rPr>
        <w:t xml:space="preserve">Protect, a </w:t>
      </w:r>
      <w:r w:rsidR="00D05A7E">
        <w:rPr>
          <w:rFonts w:ascii="Times New Roman" w:hAnsi="Times New Roman" w:cs="Times New Roman"/>
        </w:rPr>
        <w:t xml:space="preserve">whistleblowing </w:t>
      </w:r>
      <w:r>
        <w:rPr>
          <w:rFonts w:ascii="Times New Roman" w:hAnsi="Times New Roman" w:cs="Times New Roman"/>
        </w:rPr>
        <w:t xml:space="preserve">charity, </w:t>
      </w:r>
      <w:r w:rsidR="00060612">
        <w:rPr>
          <w:rFonts w:ascii="Times New Roman" w:hAnsi="Times New Roman" w:cs="Times New Roman"/>
        </w:rPr>
        <w:t xml:space="preserve">to </w:t>
      </w:r>
      <w:r>
        <w:rPr>
          <w:rFonts w:ascii="Times New Roman" w:hAnsi="Times New Roman" w:cs="Times New Roman"/>
        </w:rPr>
        <w:t xml:space="preserve">intervene by written and oral submissions, </w:t>
      </w:r>
      <w:r w:rsidR="00060612">
        <w:rPr>
          <w:rFonts w:ascii="Times New Roman" w:hAnsi="Times New Roman" w:cs="Times New Roman"/>
        </w:rPr>
        <w:t>which were made</w:t>
      </w:r>
      <w:r>
        <w:rPr>
          <w:rFonts w:ascii="Times New Roman" w:hAnsi="Times New Roman" w:cs="Times New Roman"/>
        </w:rPr>
        <w:t xml:space="preserve"> </w:t>
      </w:r>
      <w:r w:rsidR="00B11041">
        <w:rPr>
          <w:rFonts w:ascii="Times New Roman" w:hAnsi="Times New Roman" w:cs="Times New Roman"/>
        </w:rPr>
        <w:t xml:space="preserve">by </w:t>
      </w:r>
      <w:r>
        <w:rPr>
          <w:rFonts w:ascii="Times New Roman" w:hAnsi="Times New Roman" w:cs="Times New Roman"/>
        </w:rPr>
        <w:t xml:space="preserve">Ms Jolly KC and Ms Masters. We </w:t>
      </w:r>
      <w:r>
        <w:rPr>
          <w:rFonts w:ascii="Times New Roman" w:hAnsi="Times New Roman" w:cs="Times New Roman"/>
        </w:rPr>
        <w:lastRenderedPageBreak/>
        <w:t xml:space="preserve">thank counsel for their written and oral submissions. All except Mr </w:t>
      </w:r>
      <w:r w:rsidRPr="00AA20EC">
        <w:rPr>
          <w:rFonts w:ascii="Times New Roman" w:hAnsi="Times New Roman" w:cs="Times New Roman"/>
        </w:rPr>
        <w:t>Bidnell-Edwards</w:t>
      </w:r>
      <w:r>
        <w:rPr>
          <w:rFonts w:ascii="Times New Roman" w:hAnsi="Times New Roman" w:cs="Times New Roman"/>
        </w:rPr>
        <w:t xml:space="preserve"> appeared pro bono, and we are especially grateful to them for that.</w:t>
      </w:r>
    </w:p>
    <w:p w14:paraId="1C05513F" w14:textId="1C121DCF" w:rsidR="004C33A1" w:rsidRPr="004C33A1" w:rsidRDefault="00C92236" w:rsidP="00AC2BC7">
      <w:pPr>
        <w:pStyle w:val="ListParagraph"/>
        <w:numPr>
          <w:ilvl w:val="0"/>
          <w:numId w:val="11"/>
        </w:numPr>
        <w:spacing w:before="120" w:after="360" w:line="240" w:lineRule="auto"/>
        <w:ind w:hanging="720"/>
        <w:contextualSpacing w:val="0"/>
        <w:jc w:val="both"/>
      </w:pPr>
      <w:r>
        <w:rPr>
          <w:rFonts w:ascii="Times New Roman" w:hAnsi="Times New Roman" w:cs="Times New Roman"/>
        </w:rPr>
        <w:t xml:space="preserve">In broad summary, </w:t>
      </w:r>
      <w:r w:rsidRPr="00204BE4">
        <w:rPr>
          <w:rFonts w:asciiTheme="majorBidi" w:hAnsiTheme="majorBidi" w:cstheme="majorBidi"/>
        </w:rPr>
        <w:t>the</w:t>
      </w:r>
      <w:r>
        <w:rPr>
          <w:rFonts w:ascii="Times New Roman" w:hAnsi="Times New Roman" w:cs="Times New Roman"/>
        </w:rPr>
        <w:t xml:space="preserve"> </w:t>
      </w:r>
      <w:r w:rsidR="00EB22C8">
        <w:rPr>
          <w:rFonts w:ascii="Times New Roman" w:hAnsi="Times New Roman" w:cs="Times New Roman"/>
        </w:rPr>
        <w:t>parties</w:t>
      </w:r>
      <w:r w:rsidR="00F81D11">
        <w:rPr>
          <w:rFonts w:ascii="Times New Roman" w:hAnsi="Times New Roman" w:cs="Times New Roman"/>
        </w:rPr>
        <w:t xml:space="preserve">’ </w:t>
      </w:r>
      <w:r>
        <w:rPr>
          <w:rFonts w:ascii="Times New Roman" w:hAnsi="Times New Roman" w:cs="Times New Roman"/>
        </w:rPr>
        <w:t xml:space="preserve">positions </w:t>
      </w:r>
      <w:r w:rsidR="00F81D11">
        <w:rPr>
          <w:rFonts w:ascii="Times New Roman" w:hAnsi="Times New Roman" w:cs="Times New Roman"/>
        </w:rPr>
        <w:t>on this appeal are</w:t>
      </w:r>
      <w:r w:rsidR="00CA6418">
        <w:rPr>
          <w:rFonts w:ascii="Times New Roman" w:hAnsi="Times New Roman" w:cs="Times New Roman"/>
        </w:rPr>
        <w:t xml:space="preserve"> </w:t>
      </w:r>
      <w:r w:rsidR="00727641">
        <w:rPr>
          <w:rFonts w:ascii="Times New Roman" w:hAnsi="Times New Roman" w:cs="Times New Roman"/>
        </w:rPr>
        <w:t>these</w:t>
      </w:r>
      <w:r w:rsidR="004C33A1">
        <w:rPr>
          <w:rFonts w:ascii="Times New Roman" w:hAnsi="Times New Roman" w:cs="Times New Roman"/>
        </w:rPr>
        <w:t>:</w:t>
      </w:r>
    </w:p>
    <w:p w14:paraId="50465FB2" w14:textId="2A4BADD3" w:rsidR="0012470E" w:rsidRDefault="006609FA" w:rsidP="00AC2BC7">
      <w:pPr>
        <w:pStyle w:val="ListParagraph"/>
        <w:numPr>
          <w:ilvl w:val="0"/>
          <w:numId w:val="15"/>
        </w:numPr>
        <w:spacing w:before="120" w:after="360" w:line="240" w:lineRule="auto"/>
        <w:contextualSpacing w:val="0"/>
        <w:jc w:val="both"/>
        <w:rPr>
          <w:rFonts w:ascii="Times New Roman" w:hAnsi="Times New Roman" w:cs="Times New Roman"/>
        </w:rPr>
      </w:pPr>
      <w:r>
        <w:rPr>
          <w:rFonts w:ascii="Times New Roman" w:hAnsi="Times New Roman" w:cs="Times New Roman"/>
        </w:rPr>
        <w:t>In both appeals</w:t>
      </w:r>
      <w:r w:rsidR="009E62A9">
        <w:rPr>
          <w:rFonts w:ascii="Times New Roman" w:hAnsi="Times New Roman" w:cs="Times New Roman"/>
        </w:rPr>
        <w:t xml:space="preserve"> the employee</w:t>
      </w:r>
      <w:r w:rsidR="00F104C6">
        <w:rPr>
          <w:rFonts w:ascii="Times New Roman" w:hAnsi="Times New Roman" w:cs="Times New Roman"/>
        </w:rPr>
        <w:t>s</w:t>
      </w:r>
      <w:r w:rsidR="009E62A9">
        <w:rPr>
          <w:rFonts w:ascii="Times New Roman" w:hAnsi="Times New Roman" w:cs="Times New Roman"/>
        </w:rPr>
        <w:t xml:space="preserve"> argue</w:t>
      </w:r>
      <w:r w:rsidR="00F104C6">
        <w:rPr>
          <w:rFonts w:ascii="Times New Roman" w:hAnsi="Times New Roman" w:cs="Times New Roman"/>
        </w:rPr>
        <w:t xml:space="preserve"> that they were entitled to be </w:t>
      </w:r>
      <w:r w:rsidR="0098107F">
        <w:rPr>
          <w:rFonts w:ascii="Times New Roman" w:hAnsi="Times New Roman" w:cs="Times New Roman"/>
        </w:rPr>
        <w:t xml:space="preserve">granted permission to amend. </w:t>
      </w:r>
      <w:r w:rsidR="00F104C6">
        <w:rPr>
          <w:rFonts w:ascii="Times New Roman" w:hAnsi="Times New Roman" w:cs="Times New Roman"/>
        </w:rPr>
        <w:t xml:space="preserve">The ET </w:t>
      </w:r>
      <w:r w:rsidR="0098107F">
        <w:rPr>
          <w:rFonts w:ascii="Times New Roman" w:hAnsi="Times New Roman" w:cs="Times New Roman"/>
        </w:rPr>
        <w:t>and the</w:t>
      </w:r>
      <w:r w:rsidR="00087B1F">
        <w:rPr>
          <w:rFonts w:ascii="Times New Roman" w:hAnsi="Times New Roman" w:cs="Times New Roman"/>
        </w:rPr>
        <w:t xml:space="preserve"> EAT</w:t>
      </w:r>
      <w:r w:rsidR="004D3AFA">
        <w:rPr>
          <w:rFonts w:ascii="Times New Roman" w:hAnsi="Times New Roman" w:cs="Times New Roman"/>
        </w:rPr>
        <w:t xml:space="preserve"> </w:t>
      </w:r>
      <w:r w:rsidR="0098107F">
        <w:rPr>
          <w:rFonts w:ascii="Times New Roman" w:hAnsi="Times New Roman" w:cs="Times New Roman"/>
        </w:rPr>
        <w:t>were</w:t>
      </w:r>
      <w:r w:rsidR="004D3AFA">
        <w:rPr>
          <w:rFonts w:ascii="Times New Roman" w:hAnsi="Times New Roman" w:cs="Times New Roman"/>
        </w:rPr>
        <w:t xml:space="preserve"> bound by </w:t>
      </w:r>
      <w:r w:rsidR="00FC5FC1">
        <w:rPr>
          <w:rFonts w:ascii="Times New Roman" w:hAnsi="Times New Roman" w:cs="Times New Roman"/>
          <w:i/>
          <w:iCs/>
        </w:rPr>
        <w:t>Osipov</w:t>
      </w:r>
      <w:r w:rsidR="00F104C6">
        <w:rPr>
          <w:rFonts w:ascii="Times New Roman" w:hAnsi="Times New Roman" w:cs="Times New Roman"/>
        </w:rPr>
        <w:t>, which cannot be distinguished</w:t>
      </w:r>
      <w:r w:rsidR="002B64EF">
        <w:rPr>
          <w:rFonts w:ascii="Times New Roman" w:hAnsi="Times New Roman" w:cs="Times New Roman"/>
        </w:rPr>
        <w:t xml:space="preserve">; if that is wrong, and </w:t>
      </w:r>
      <w:r w:rsidR="00B807A8">
        <w:rPr>
          <w:rFonts w:ascii="Times New Roman" w:hAnsi="Times New Roman" w:cs="Times New Roman"/>
        </w:rPr>
        <w:t>the</w:t>
      </w:r>
      <w:r w:rsidR="00010D91">
        <w:rPr>
          <w:rFonts w:ascii="Times New Roman" w:hAnsi="Times New Roman" w:cs="Times New Roman"/>
        </w:rPr>
        <w:t xml:space="preserve"> tribunals were</w:t>
      </w:r>
      <w:r w:rsidR="00B807A8">
        <w:rPr>
          <w:rFonts w:ascii="Times New Roman" w:hAnsi="Times New Roman" w:cs="Times New Roman"/>
        </w:rPr>
        <w:t xml:space="preserve"> not </w:t>
      </w:r>
      <w:r w:rsidR="00E84DCB">
        <w:rPr>
          <w:rFonts w:ascii="Times New Roman" w:hAnsi="Times New Roman" w:cs="Times New Roman"/>
        </w:rPr>
        <w:t>st</w:t>
      </w:r>
      <w:r w:rsidR="00BE7782">
        <w:rPr>
          <w:rFonts w:ascii="Times New Roman" w:hAnsi="Times New Roman" w:cs="Times New Roman"/>
        </w:rPr>
        <w:t xml:space="preserve">rictly </w:t>
      </w:r>
      <w:r w:rsidR="00B807A8">
        <w:rPr>
          <w:rFonts w:ascii="Times New Roman" w:hAnsi="Times New Roman" w:cs="Times New Roman"/>
        </w:rPr>
        <w:t xml:space="preserve">bound </w:t>
      </w:r>
      <w:r w:rsidR="00BE7782">
        <w:rPr>
          <w:rFonts w:ascii="Times New Roman" w:hAnsi="Times New Roman" w:cs="Times New Roman"/>
        </w:rPr>
        <w:t xml:space="preserve">they </w:t>
      </w:r>
      <w:r w:rsidR="003D2754">
        <w:rPr>
          <w:rFonts w:ascii="Times New Roman" w:hAnsi="Times New Roman" w:cs="Times New Roman"/>
        </w:rPr>
        <w:t xml:space="preserve">nevertheless </w:t>
      </w:r>
      <w:r w:rsidR="008820C6">
        <w:rPr>
          <w:rFonts w:ascii="Times New Roman" w:hAnsi="Times New Roman" w:cs="Times New Roman"/>
        </w:rPr>
        <w:t xml:space="preserve">were either right, in the case of the ET in </w:t>
      </w:r>
      <w:r w:rsidR="008820C6" w:rsidRPr="008074B9">
        <w:rPr>
          <w:rFonts w:ascii="Times New Roman" w:hAnsi="Times New Roman" w:cs="Times New Roman"/>
          <w:i/>
          <w:iCs/>
        </w:rPr>
        <w:t>Wicked Vision</w:t>
      </w:r>
      <w:r w:rsidR="008820C6">
        <w:rPr>
          <w:rFonts w:ascii="Times New Roman" w:hAnsi="Times New Roman" w:cs="Times New Roman"/>
        </w:rPr>
        <w:t xml:space="preserve">, or ought, in the case of the ET in Barton Turns, to have followed </w:t>
      </w:r>
      <w:r w:rsidR="00BE7782">
        <w:rPr>
          <w:rFonts w:ascii="Times New Roman" w:hAnsi="Times New Roman" w:cs="Times New Roman"/>
        </w:rPr>
        <w:t>it</w:t>
      </w:r>
      <w:r w:rsidR="00AC32C5">
        <w:rPr>
          <w:rFonts w:ascii="Times New Roman" w:hAnsi="Times New Roman" w:cs="Times New Roman"/>
        </w:rPr>
        <w:t>s general approach</w:t>
      </w:r>
      <w:r w:rsidR="0012470E">
        <w:rPr>
          <w:rFonts w:ascii="Times New Roman" w:hAnsi="Times New Roman" w:cs="Times New Roman"/>
        </w:rPr>
        <w:t>.</w:t>
      </w:r>
    </w:p>
    <w:p w14:paraId="7DD53EB5" w14:textId="00C775E5" w:rsidR="008E32B1" w:rsidRPr="00813605" w:rsidRDefault="0018011B" w:rsidP="00AC2BC7">
      <w:pPr>
        <w:pStyle w:val="ListParagraph"/>
        <w:numPr>
          <w:ilvl w:val="0"/>
          <w:numId w:val="15"/>
        </w:numPr>
        <w:spacing w:before="120" w:after="360" w:line="240" w:lineRule="auto"/>
        <w:contextualSpacing w:val="0"/>
        <w:jc w:val="both"/>
        <w:rPr>
          <w:rFonts w:ascii="Times New Roman" w:hAnsi="Times New Roman" w:cs="Times New Roman"/>
        </w:rPr>
      </w:pPr>
      <w:r>
        <w:rPr>
          <w:rFonts w:ascii="Times New Roman" w:hAnsi="Times New Roman" w:cs="Times New Roman"/>
        </w:rPr>
        <w:t xml:space="preserve">The </w:t>
      </w:r>
      <w:r w:rsidR="003D0E3D">
        <w:rPr>
          <w:rFonts w:ascii="Times New Roman" w:hAnsi="Times New Roman" w:cs="Times New Roman"/>
        </w:rPr>
        <w:t>employer</w:t>
      </w:r>
      <w:r>
        <w:rPr>
          <w:rFonts w:ascii="Times New Roman" w:hAnsi="Times New Roman" w:cs="Times New Roman"/>
        </w:rPr>
        <w:t>s</w:t>
      </w:r>
      <w:r w:rsidR="003D0E3D">
        <w:rPr>
          <w:rFonts w:ascii="Times New Roman" w:hAnsi="Times New Roman" w:cs="Times New Roman"/>
        </w:rPr>
        <w:t xml:space="preserve"> </w:t>
      </w:r>
      <w:r w:rsidR="00596C6D">
        <w:rPr>
          <w:rFonts w:ascii="Times New Roman" w:hAnsi="Times New Roman" w:cs="Times New Roman"/>
        </w:rPr>
        <w:t>respond</w:t>
      </w:r>
      <w:r w:rsidR="00AC32C5">
        <w:rPr>
          <w:rFonts w:ascii="Times New Roman" w:hAnsi="Times New Roman" w:cs="Times New Roman"/>
        </w:rPr>
        <w:t>, on various grounds, that</w:t>
      </w:r>
      <w:r w:rsidR="00596C6D">
        <w:rPr>
          <w:rFonts w:ascii="Times New Roman" w:hAnsi="Times New Roman" w:cs="Times New Roman"/>
        </w:rPr>
        <w:t xml:space="preserve"> </w:t>
      </w:r>
      <w:r w:rsidR="00596C6D">
        <w:rPr>
          <w:rFonts w:ascii="Times New Roman" w:hAnsi="Times New Roman" w:cs="Times New Roman"/>
          <w:i/>
          <w:iCs/>
        </w:rPr>
        <w:t>Osipov</w:t>
      </w:r>
      <w:r w:rsidR="0068355E">
        <w:rPr>
          <w:rFonts w:ascii="Times New Roman" w:hAnsi="Times New Roman" w:cs="Times New Roman"/>
          <w:i/>
          <w:iCs/>
        </w:rPr>
        <w:t xml:space="preserve"> </w:t>
      </w:r>
      <w:r w:rsidR="004B687D">
        <w:rPr>
          <w:rFonts w:ascii="Times New Roman" w:hAnsi="Times New Roman" w:cs="Times New Roman"/>
        </w:rPr>
        <w:t>d</w:t>
      </w:r>
      <w:r w:rsidR="00813605">
        <w:rPr>
          <w:rFonts w:ascii="Times New Roman" w:hAnsi="Times New Roman" w:cs="Times New Roman"/>
        </w:rPr>
        <w:t xml:space="preserve">id </w:t>
      </w:r>
      <w:r w:rsidR="004B687D">
        <w:rPr>
          <w:rFonts w:ascii="Times New Roman" w:hAnsi="Times New Roman" w:cs="Times New Roman"/>
        </w:rPr>
        <w:t xml:space="preserve">not </w:t>
      </w:r>
      <w:r w:rsidR="00662495">
        <w:rPr>
          <w:rFonts w:ascii="Times New Roman" w:hAnsi="Times New Roman" w:cs="Times New Roman"/>
        </w:rPr>
        <w:t xml:space="preserve">bind the tribunals </w:t>
      </w:r>
      <w:r w:rsidR="00EB38DE">
        <w:rPr>
          <w:rFonts w:ascii="Times New Roman" w:hAnsi="Times New Roman" w:cs="Times New Roman"/>
        </w:rPr>
        <w:t xml:space="preserve">on the issue in these appeals </w:t>
      </w:r>
      <w:r w:rsidR="00F055C2">
        <w:rPr>
          <w:rFonts w:ascii="Times New Roman" w:hAnsi="Times New Roman" w:cs="Times New Roman"/>
        </w:rPr>
        <w:t>and does not bind this court</w:t>
      </w:r>
      <w:r w:rsidR="00E2197C">
        <w:rPr>
          <w:rFonts w:ascii="Times New Roman" w:hAnsi="Times New Roman" w:cs="Times New Roman"/>
        </w:rPr>
        <w:t>.</w:t>
      </w:r>
    </w:p>
    <w:p w14:paraId="2448B0EC" w14:textId="657BF908" w:rsidR="00876D67" w:rsidRPr="005202EC" w:rsidRDefault="00CB2310" w:rsidP="00AC2BC7">
      <w:pPr>
        <w:spacing w:before="120" w:after="360"/>
        <w:jc w:val="both"/>
        <w:rPr>
          <w:b/>
          <w:bCs/>
          <w:u w:val="single"/>
        </w:rPr>
      </w:pPr>
      <w:r w:rsidRPr="005202EC">
        <w:rPr>
          <w:b/>
          <w:bCs/>
          <w:u w:val="single"/>
        </w:rPr>
        <w:t xml:space="preserve">2. </w:t>
      </w:r>
      <w:r w:rsidR="00876D67" w:rsidRPr="005202EC">
        <w:rPr>
          <w:b/>
          <w:bCs/>
          <w:u w:val="single"/>
        </w:rPr>
        <w:t xml:space="preserve">The </w:t>
      </w:r>
      <w:r w:rsidR="00B113C3" w:rsidRPr="005202EC">
        <w:rPr>
          <w:b/>
          <w:bCs/>
          <w:u w:val="single"/>
        </w:rPr>
        <w:t>F</w:t>
      </w:r>
      <w:r w:rsidR="00876D67" w:rsidRPr="005202EC">
        <w:rPr>
          <w:b/>
          <w:bCs/>
          <w:u w:val="single"/>
        </w:rPr>
        <w:t>acts</w:t>
      </w:r>
      <w:r w:rsidR="008E4FF3">
        <w:rPr>
          <w:b/>
          <w:bCs/>
          <w:u w:val="single"/>
        </w:rPr>
        <w:t xml:space="preserve"> in each appeal</w:t>
      </w:r>
    </w:p>
    <w:p w14:paraId="13B8155E" w14:textId="77777777" w:rsidR="00876D67" w:rsidRPr="002F0D33" w:rsidRDefault="00876D67" w:rsidP="00AC2BC7">
      <w:pPr>
        <w:spacing w:before="120" w:after="360"/>
        <w:jc w:val="both"/>
        <w:rPr>
          <w:i/>
          <w:iCs/>
        </w:rPr>
      </w:pPr>
      <w:r>
        <w:rPr>
          <w:i/>
          <w:iCs/>
        </w:rPr>
        <w:t>Wicked Vision</w:t>
      </w:r>
    </w:p>
    <w:p w14:paraId="18188381" w14:textId="7F2C6C83"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The employer i</w:t>
      </w:r>
      <w:r w:rsidRPr="002D48F9">
        <w:rPr>
          <w:rFonts w:ascii="Times New Roman" w:hAnsi="Times New Roman" w:cs="Times New Roman"/>
        </w:rPr>
        <w:t xml:space="preserve">s owned by Mr Strang. </w:t>
      </w:r>
      <w:r>
        <w:rPr>
          <w:rFonts w:ascii="Times New Roman" w:hAnsi="Times New Roman" w:cs="Times New Roman"/>
        </w:rPr>
        <w:t>Mr Rice was e</w:t>
      </w:r>
      <w:r w:rsidRPr="002D48F9">
        <w:rPr>
          <w:rFonts w:ascii="Times New Roman" w:hAnsi="Times New Roman" w:cs="Times New Roman"/>
        </w:rPr>
        <w:t xml:space="preserve">mployed as </w:t>
      </w:r>
      <w:r w:rsidR="00160178">
        <w:rPr>
          <w:rFonts w:ascii="Times New Roman" w:hAnsi="Times New Roman" w:cs="Times New Roman"/>
        </w:rPr>
        <w:t>H</w:t>
      </w:r>
      <w:r w:rsidR="00160178" w:rsidRPr="002D48F9">
        <w:rPr>
          <w:rFonts w:ascii="Times New Roman" w:hAnsi="Times New Roman" w:cs="Times New Roman"/>
        </w:rPr>
        <w:t xml:space="preserve">ead </w:t>
      </w:r>
      <w:r w:rsidRPr="002D48F9">
        <w:rPr>
          <w:rFonts w:ascii="Times New Roman" w:hAnsi="Times New Roman" w:cs="Times New Roman"/>
        </w:rPr>
        <w:t xml:space="preserve">of UK </w:t>
      </w:r>
      <w:r w:rsidR="00160178">
        <w:rPr>
          <w:rFonts w:ascii="Times New Roman" w:hAnsi="Times New Roman" w:cs="Times New Roman"/>
        </w:rPr>
        <w:t>S</w:t>
      </w:r>
      <w:r w:rsidR="00160178" w:rsidRPr="002D48F9">
        <w:rPr>
          <w:rFonts w:ascii="Times New Roman" w:hAnsi="Times New Roman" w:cs="Times New Roman"/>
        </w:rPr>
        <w:t xml:space="preserve">ales </w:t>
      </w:r>
      <w:r w:rsidRPr="002D48F9">
        <w:rPr>
          <w:rFonts w:ascii="Times New Roman" w:hAnsi="Times New Roman" w:cs="Times New Roman"/>
        </w:rPr>
        <w:t xml:space="preserve">from December 2019 until </w:t>
      </w:r>
      <w:r>
        <w:rPr>
          <w:rFonts w:ascii="Times New Roman" w:hAnsi="Times New Roman" w:cs="Times New Roman"/>
        </w:rPr>
        <w:t xml:space="preserve">February </w:t>
      </w:r>
      <w:r w:rsidRPr="002D48F9">
        <w:rPr>
          <w:rFonts w:ascii="Times New Roman" w:hAnsi="Times New Roman" w:cs="Times New Roman"/>
        </w:rPr>
        <w:t>2021</w:t>
      </w:r>
      <w:r>
        <w:rPr>
          <w:rFonts w:ascii="Times New Roman" w:hAnsi="Times New Roman" w:cs="Times New Roman"/>
        </w:rPr>
        <w:t xml:space="preserve"> when he was dismissed on the grounds of </w:t>
      </w:r>
      <w:r w:rsidRPr="002D48F9">
        <w:rPr>
          <w:rFonts w:ascii="Times New Roman" w:hAnsi="Times New Roman" w:cs="Times New Roman"/>
        </w:rPr>
        <w:t xml:space="preserve">redundancy. </w:t>
      </w:r>
      <w:r>
        <w:rPr>
          <w:rFonts w:ascii="Times New Roman" w:hAnsi="Times New Roman" w:cs="Times New Roman"/>
        </w:rPr>
        <w:t xml:space="preserve">His case was that </w:t>
      </w:r>
      <w:r w:rsidRPr="002D48F9">
        <w:rPr>
          <w:rFonts w:ascii="Times New Roman" w:hAnsi="Times New Roman" w:cs="Times New Roman"/>
        </w:rPr>
        <w:t>Mr S</w:t>
      </w:r>
      <w:r>
        <w:rPr>
          <w:rFonts w:ascii="Times New Roman" w:hAnsi="Times New Roman" w:cs="Times New Roman"/>
        </w:rPr>
        <w:t>trang</w:t>
      </w:r>
      <w:r w:rsidRPr="002D48F9">
        <w:rPr>
          <w:rFonts w:ascii="Times New Roman" w:hAnsi="Times New Roman" w:cs="Times New Roman"/>
        </w:rPr>
        <w:t xml:space="preserve"> decided to dismiss him because he </w:t>
      </w:r>
      <w:r>
        <w:rPr>
          <w:rFonts w:ascii="Times New Roman" w:hAnsi="Times New Roman" w:cs="Times New Roman"/>
        </w:rPr>
        <w:t xml:space="preserve">had </w:t>
      </w:r>
      <w:r w:rsidRPr="002D48F9">
        <w:rPr>
          <w:rFonts w:ascii="Times New Roman" w:hAnsi="Times New Roman" w:cs="Times New Roman"/>
        </w:rPr>
        <w:t>made protected disclosures</w:t>
      </w:r>
      <w:r>
        <w:rPr>
          <w:rFonts w:ascii="Times New Roman" w:hAnsi="Times New Roman" w:cs="Times New Roman"/>
        </w:rPr>
        <w:t>.</w:t>
      </w:r>
      <w:r w:rsidRPr="002D48F9">
        <w:rPr>
          <w:rFonts w:ascii="Times New Roman" w:hAnsi="Times New Roman" w:cs="Times New Roman"/>
        </w:rPr>
        <w:t xml:space="preserve"> He claimed </w:t>
      </w:r>
      <w:r>
        <w:rPr>
          <w:rFonts w:ascii="Times New Roman" w:hAnsi="Times New Roman" w:cs="Times New Roman"/>
        </w:rPr>
        <w:t xml:space="preserve">that his </w:t>
      </w:r>
      <w:r w:rsidRPr="002D48F9">
        <w:rPr>
          <w:rFonts w:ascii="Times New Roman" w:hAnsi="Times New Roman" w:cs="Times New Roman"/>
        </w:rPr>
        <w:t xml:space="preserve">dismissal </w:t>
      </w:r>
      <w:r w:rsidR="001A2EF5">
        <w:rPr>
          <w:rFonts w:ascii="Times New Roman" w:hAnsi="Times New Roman" w:cs="Times New Roman"/>
        </w:rPr>
        <w:t xml:space="preserve">was </w:t>
      </w:r>
      <w:r w:rsidRPr="002D48F9">
        <w:rPr>
          <w:rFonts w:ascii="Times New Roman" w:hAnsi="Times New Roman" w:cs="Times New Roman"/>
        </w:rPr>
        <w:t xml:space="preserve">unfair under section 94 of </w:t>
      </w:r>
      <w:r>
        <w:rPr>
          <w:rFonts w:ascii="Times New Roman" w:hAnsi="Times New Roman" w:cs="Times New Roman"/>
        </w:rPr>
        <w:t>the 1996 Act a</w:t>
      </w:r>
      <w:r w:rsidRPr="002D48F9">
        <w:rPr>
          <w:rFonts w:ascii="Times New Roman" w:hAnsi="Times New Roman" w:cs="Times New Roman"/>
        </w:rPr>
        <w:t xml:space="preserve">nd </w:t>
      </w:r>
      <w:r>
        <w:rPr>
          <w:rFonts w:ascii="Times New Roman" w:hAnsi="Times New Roman" w:cs="Times New Roman"/>
        </w:rPr>
        <w:t xml:space="preserve">that it was </w:t>
      </w:r>
      <w:r w:rsidRPr="002D48F9">
        <w:rPr>
          <w:rFonts w:ascii="Times New Roman" w:hAnsi="Times New Roman" w:cs="Times New Roman"/>
        </w:rPr>
        <w:t>automatically unfair under section 103A</w:t>
      </w:r>
      <w:r>
        <w:rPr>
          <w:rFonts w:ascii="Times New Roman" w:hAnsi="Times New Roman" w:cs="Times New Roman"/>
        </w:rPr>
        <w:t>,</w:t>
      </w:r>
      <w:r w:rsidRPr="002D48F9">
        <w:rPr>
          <w:rFonts w:ascii="Times New Roman" w:hAnsi="Times New Roman" w:cs="Times New Roman"/>
        </w:rPr>
        <w:t xml:space="preserve"> because the reason or principal reason for </w:t>
      </w:r>
      <w:r>
        <w:rPr>
          <w:rFonts w:ascii="Times New Roman" w:hAnsi="Times New Roman" w:cs="Times New Roman"/>
        </w:rPr>
        <w:t xml:space="preserve">his </w:t>
      </w:r>
      <w:r w:rsidRPr="002D48F9">
        <w:rPr>
          <w:rFonts w:ascii="Times New Roman" w:hAnsi="Times New Roman" w:cs="Times New Roman"/>
        </w:rPr>
        <w:t xml:space="preserve">dismissal was </w:t>
      </w:r>
      <w:r>
        <w:rPr>
          <w:rFonts w:ascii="Times New Roman" w:hAnsi="Times New Roman" w:cs="Times New Roman"/>
        </w:rPr>
        <w:t xml:space="preserve">a </w:t>
      </w:r>
      <w:r w:rsidRPr="002D48F9">
        <w:rPr>
          <w:rFonts w:ascii="Times New Roman" w:hAnsi="Times New Roman" w:cs="Times New Roman"/>
        </w:rPr>
        <w:t xml:space="preserve">protected disclosure. </w:t>
      </w:r>
    </w:p>
    <w:p w14:paraId="7F79A2DB" w14:textId="1DD261A6"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2D48F9">
        <w:rPr>
          <w:rFonts w:ascii="Times New Roman" w:hAnsi="Times New Roman" w:cs="Times New Roman"/>
        </w:rPr>
        <w:t xml:space="preserve">Just before </w:t>
      </w:r>
      <w:r>
        <w:rPr>
          <w:rFonts w:ascii="Times New Roman" w:hAnsi="Times New Roman" w:cs="Times New Roman"/>
        </w:rPr>
        <w:t>a c</w:t>
      </w:r>
      <w:r w:rsidRPr="002D48F9">
        <w:rPr>
          <w:rFonts w:ascii="Times New Roman" w:hAnsi="Times New Roman" w:cs="Times New Roman"/>
        </w:rPr>
        <w:t>ase management hearing in October 2021</w:t>
      </w:r>
      <w:r>
        <w:rPr>
          <w:rFonts w:ascii="Times New Roman" w:hAnsi="Times New Roman" w:cs="Times New Roman"/>
        </w:rPr>
        <w:t>, Mr Rice’s repre</w:t>
      </w:r>
      <w:r w:rsidRPr="002D48F9">
        <w:rPr>
          <w:rFonts w:ascii="Times New Roman" w:hAnsi="Times New Roman" w:cs="Times New Roman"/>
        </w:rPr>
        <w:t xml:space="preserve">sentatives </w:t>
      </w:r>
      <w:r>
        <w:rPr>
          <w:rFonts w:ascii="Times New Roman" w:hAnsi="Times New Roman" w:cs="Times New Roman"/>
        </w:rPr>
        <w:t xml:space="preserve">indicated </w:t>
      </w:r>
      <w:r w:rsidRPr="002D48F9">
        <w:rPr>
          <w:rFonts w:ascii="Times New Roman" w:hAnsi="Times New Roman" w:cs="Times New Roman"/>
        </w:rPr>
        <w:t xml:space="preserve">a wish to amend the claim to include complaints that </w:t>
      </w:r>
      <w:r>
        <w:rPr>
          <w:rFonts w:ascii="Times New Roman" w:hAnsi="Times New Roman" w:cs="Times New Roman"/>
        </w:rPr>
        <w:t xml:space="preserve">he had been </w:t>
      </w:r>
      <w:r w:rsidRPr="002D48F9">
        <w:rPr>
          <w:rFonts w:ascii="Times New Roman" w:hAnsi="Times New Roman" w:cs="Times New Roman"/>
        </w:rPr>
        <w:t>subjected to detriments, contrary to section 47B</w:t>
      </w:r>
      <w:r>
        <w:rPr>
          <w:rFonts w:ascii="Times New Roman" w:hAnsi="Times New Roman" w:cs="Times New Roman"/>
        </w:rPr>
        <w:t xml:space="preserve"> of the </w:t>
      </w:r>
      <w:r w:rsidR="009A1527">
        <w:rPr>
          <w:rFonts w:ascii="Times New Roman" w:hAnsi="Times New Roman" w:cs="Times New Roman"/>
        </w:rPr>
        <w:t xml:space="preserve">1996 </w:t>
      </w:r>
      <w:r>
        <w:rPr>
          <w:rFonts w:ascii="Times New Roman" w:hAnsi="Times New Roman" w:cs="Times New Roman"/>
        </w:rPr>
        <w:t>Act</w:t>
      </w:r>
      <w:r w:rsidRPr="002D48F9">
        <w:rPr>
          <w:rFonts w:ascii="Times New Roman" w:hAnsi="Times New Roman" w:cs="Times New Roman"/>
        </w:rPr>
        <w:t xml:space="preserve">. </w:t>
      </w:r>
      <w:r>
        <w:rPr>
          <w:rFonts w:ascii="Times New Roman" w:hAnsi="Times New Roman" w:cs="Times New Roman"/>
        </w:rPr>
        <w:t xml:space="preserve">There were four </w:t>
      </w:r>
      <w:r w:rsidRPr="002D48F9">
        <w:rPr>
          <w:rFonts w:ascii="Times New Roman" w:hAnsi="Times New Roman" w:cs="Times New Roman"/>
        </w:rPr>
        <w:t>detriments</w:t>
      </w:r>
      <w:r>
        <w:rPr>
          <w:rFonts w:ascii="Times New Roman" w:hAnsi="Times New Roman" w:cs="Times New Roman"/>
        </w:rPr>
        <w:t>, some before his dismissal</w:t>
      </w:r>
      <w:r w:rsidR="00206B06">
        <w:rPr>
          <w:rFonts w:ascii="Times New Roman" w:hAnsi="Times New Roman" w:cs="Times New Roman"/>
        </w:rPr>
        <w:t>, but including</w:t>
      </w:r>
      <w:r>
        <w:rPr>
          <w:rFonts w:ascii="Times New Roman" w:hAnsi="Times New Roman" w:cs="Times New Roman"/>
        </w:rPr>
        <w:t xml:space="preserve"> his </w:t>
      </w:r>
      <w:r w:rsidRPr="002D48F9">
        <w:rPr>
          <w:rFonts w:ascii="Times New Roman" w:hAnsi="Times New Roman" w:cs="Times New Roman"/>
        </w:rPr>
        <w:t>actual dismissal by Mr S</w:t>
      </w:r>
      <w:r>
        <w:rPr>
          <w:rFonts w:ascii="Times New Roman" w:hAnsi="Times New Roman" w:cs="Times New Roman"/>
        </w:rPr>
        <w:t>trang</w:t>
      </w:r>
      <w:r w:rsidRPr="002D48F9">
        <w:rPr>
          <w:rFonts w:ascii="Times New Roman" w:hAnsi="Times New Roman" w:cs="Times New Roman"/>
        </w:rPr>
        <w:t>.</w:t>
      </w:r>
    </w:p>
    <w:p w14:paraId="56C59AFE" w14:textId="7DDAE447" w:rsidR="000A778D"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A61951">
        <w:rPr>
          <w:rFonts w:ascii="Times New Roman" w:hAnsi="Times New Roman" w:cs="Times New Roman"/>
        </w:rPr>
        <w:t>A</w:t>
      </w:r>
      <w:r w:rsidR="0063180B">
        <w:rPr>
          <w:rFonts w:ascii="Times New Roman" w:hAnsi="Times New Roman" w:cs="Times New Roman"/>
        </w:rPr>
        <w:t>t</w:t>
      </w:r>
      <w:r w:rsidRPr="00A61951">
        <w:rPr>
          <w:rFonts w:ascii="Times New Roman" w:hAnsi="Times New Roman" w:cs="Times New Roman"/>
        </w:rPr>
        <w:t xml:space="preserve"> a further case management hearing in July 2022 Mr Rice </w:t>
      </w:r>
      <w:r w:rsidR="0063180B">
        <w:rPr>
          <w:rFonts w:ascii="Times New Roman" w:hAnsi="Times New Roman" w:cs="Times New Roman"/>
        </w:rPr>
        <w:t xml:space="preserve">applied </w:t>
      </w:r>
      <w:r w:rsidRPr="00A61951">
        <w:rPr>
          <w:rFonts w:ascii="Times New Roman" w:hAnsi="Times New Roman" w:cs="Times New Roman"/>
        </w:rPr>
        <w:t>to amend his claim by adding a detriment</w:t>
      </w:r>
      <w:r w:rsidR="008E510E">
        <w:rPr>
          <w:rFonts w:ascii="Times New Roman" w:hAnsi="Times New Roman" w:cs="Times New Roman"/>
        </w:rPr>
        <w:t xml:space="preserve"> in these terms:</w:t>
      </w:r>
      <w:r w:rsidRPr="00A61951">
        <w:rPr>
          <w:rFonts w:ascii="Times New Roman" w:hAnsi="Times New Roman" w:cs="Times New Roman"/>
        </w:rPr>
        <w:t xml:space="preserve"> </w:t>
      </w:r>
    </w:p>
    <w:p w14:paraId="77269F0E" w14:textId="77777777" w:rsidR="000A778D" w:rsidRDefault="006A6E97" w:rsidP="00AC2BC7">
      <w:pPr>
        <w:pStyle w:val="ListParagraph"/>
        <w:spacing w:before="120" w:after="360" w:line="240" w:lineRule="auto"/>
        <w:ind w:left="1134" w:right="1088"/>
        <w:contextualSpacing w:val="0"/>
        <w:jc w:val="both"/>
        <w:rPr>
          <w:rFonts w:ascii="Times New Roman" w:hAnsi="Times New Roman" w:cs="Times New Roman"/>
        </w:rPr>
      </w:pPr>
      <w:r>
        <w:rPr>
          <w:rFonts w:ascii="Times New Roman" w:hAnsi="Times New Roman" w:cs="Times New Roman"/>
        </w:rPr>
        <w:t>“</w:t>
      </w:r>
      <w:r w:rsidRPr="00A61951">
        <w:rPr>
          <w:rFonts w:ascii="Times New Roman" w:hAnsi="Times New Roman" w:cs="Times New Roman"/>
        </w:rPr>
        <w:t xml:space="preserve">Dismissing </w:t>
      </w:r>
      <w:r>
        <w:rPr>
          <w:rFonts w:ascii="Times New Roman" w:hAnsi="Times New Roman" w:cs="Times New Roman"/>
        </w:rPr>
        <w:t>the claimant</w:t>
      </w:r>
      <w:r w:rsidRPr="00A61951">
        <w:rPr>
          <w:rFonts w:ascii="Times New Roman" w:hAnsi="Times New Roman" w:cs="Times New Roman"/>
        </w:rPr>
        <w:t xml:space="preserve">. </w:t>
      </w:r>
      <w:r w:rsidR="00FB479F">
        <w:rPr>
          <w:rFonts w:ascii="Times New Roman" w:hAnsi="Times New Roman" w:cs="Times New Roman"/>
        </w:rPr>
        <w:t>(</w:t>
      </w:r>
      <w:r w:rsidRPr="00A61951">
        <w:rPr>
          <w:rFonts w:ascii="Times New Roman" w:hAnsi="Times New Roman" w:cs="Times New Roman"/>
        </w:rPr>
        <w:t>This is a complaint that Mr S</w:t>
      </w:r>
      <w:r w:rsidR="00FB479F">
        <w:rPr>
          <w:rFonts w:ascii="Times New Roman" w:hAnsi="Times New Roman" w:cs="Times New Roman"/>
        </w:rPr>
        <w:t>trang</w:t>
      </w:r>
      <w:r w:rsidRPr="00A61951">
        <w:rPr>
          <w:rFonts w:ascii="Times New Roman" w:hAnsi="Times New Roman" w:cs="Times New Roman"/>
        </w:rPr>
        <w:t xml:space="preserve">, a worker for the </w:t>
      </w:r>
      <w:r w:rsidR="00FB479F">
        <w:rPr>
          <w:rFonts w:ascii="Times New Roman" w:hAnsi="Times New Roman" w:cs="Times New Roman"/>
        </w:rPr>
        <w:t>r</w:t>
      </w:r>
      <w:r w:rsidRPr="00A61951">
        <w:rPr>
          <w:rFonts w:ascii="Times New Roman" w:hAnsi="Times New Roman" w:cs="Times New Roman"/>
        </w:rPr>
        <w:t xml:space="preserve">espondent, subjected to the </w:t>
      </w:r>
      <w:r w:rsidR="00FB479F">
        <w:rPr>
          <w:rFonts w:ascii="Times New Roman" w:hAnsi="Times New Roman" w:cs="Times New Roman"/>
        </w:rPr>
        <w:t xml:space="preserve">clamant </w:t>
      </w:r>
      <w:r w:rsidRPr="00A61951">
        <w:rPr>
          <w:rFonts w:ascii="Times New Roman" w:hAnsi="Times New Roman" w:cs="Times New Roman"/>
        </w:rPr>
        <w:t>to the detriment of dismissal contrary to section 47B</w:t>
      </w:r>
      <w:r w:rsidR="009600AF">
        <w:rPr>
          <w:rFonts w:ascii="Times New Roman" w:hAnsi="Times New Roman" w:cs="Times New Roman"/>
        </w:rPr>
        <w:t>(1A) of the ERA,</w:t>
      </w:r>
      <w:r w:rsidRPr="00A61951">
        <w:rPr>
          <w:rFonts w:ascii="Times New Roman" w:hAnsi="Times New Roman" w:cs="Times New Roman"/>
        </w:rPr>
        <w:t xml:space="preserve"> for which the </w:t>
      </w:r>
      <w:r w:rsidR="009600AF">
        <w:rPr>
          <w:rFonts w:ascii="Times New Roman" w:hAnsi="Times New Roman" w:cs="Times New Roman"/>
        </w:rPr>
        <w:t>respondent</w:t>
      </w:r>
      <w:r w:rsidRPr="00A61951">
        <w:rPr>
          <w:rFonts w:ascii="Times New Roman" w:hAnsi="Times New Roman" w:cs="Times New Roman"/>
        </w:rPr>
        <w:t xml:space="preserve"> is liable under section 47B(1B). This complaint is available to an employee notwithstanding the provisions of subsection </w:t>
      </w:r>
      <w:r w:rsidR="009600AF">
        <w:rPr>
          <w:rFonts w:ascii="Times New Roman" w:hAnsi="Times New Roman" w:cs="Times New Roman"/>
        </w:rPr>
        <w:t>(</w:t>
      </w:r>
      <w:r w:rsidRPr="00A61951">
        <w:rPr>
          <w:rFonts w:ascii="Times New Roman" w:hAnsi="Times New Roman" w:cs="Times New Roman"/>
        </w:rPr>
        <w:t>2</w:t>
      </w:r>
      <w:r w:rsidR="009600AF">
        <w:rPr>
          <w:rFonts w:ascii="Times New Roman" w:hAnsi="Times New Roman" w:cs="Times New Roman"/>
        </w:rPr>
        <w:t>)</w:t>
      </w:r>
      <w:r w:rsidR="00E7324D">
        <w:rPr>
          <w:rFonts w:ascii="Times New Roman" w:hAnsi="Times New Roman" w:cs="Times New Roman"/>
        </w:rPr>
        <w:t>.)</w:t>
      </w:r>
      <w:r w:rsidR="009600AF">
        <w:rPr>
          <w:rFonts w:ascii="Times New Roman" w:hAnsi="Times New Roman" w:cs="Times New Roman"/>
        </w:rPr>
        <w:t xml:space="preserve">” </w:t>
      </w:r>
    </w:p>
    <w:p w14:paraId="0ACC541F" w14:textId="2E58E5AF" w:rsidR="00876D67" w:rsidRPr="00E45EA8" w:rsidRDefault="00876D67" w:rsidP="00AC2BC7">
      <w:pPr>
        <w:pStyle w:val="ListParagraph"/>
        <w:spacing w:before="120" w:after="360" w:line="240" w:lineRule="auto"/>
        <w:contextualSpacing w:val="0"/>
        <w:jc w:val="both"/>
      </w:pPr>
      <w:r w:rsidRPr="00A61951">
        <w:rPr>
          <w:rFonts w:ascii="Times New Roman" w:hAnsi="Times New Roman" w:cs="Times New Roman"/>
        </w:rPr>
        <w:t>Mr Rice did not ask to add Mr Strang as a respondent</w:t>
      </w:r>
      <w:r>
        <w:rPr>
          <w:rFonts w:ascii="Times New Roman" w:hAnsi="Times New Roman" w:cs="Times New Roman"/>
        </w:rPr>
        <w:t xml:space="preserve"> to his claim</w:t>
      </w:r>
      <w:r w:rsidRPr="00A61951">
        <w:rPr>
          <w:rFonts w:ascii="Times New Roman" w:hAnsi="Times New Roman" w:cs="Times New Roman"/>
        </w:rPr>
        <w:t xml:space="preserve">. The ET </w:t>
      </w:r>
      <w:r w:rsidR="00A9220B">
        <w:rPr>
          <w:rFonts w:ascii="Times New Roman" w:hAnsi="Times New Roman" w:cs="Times New Roman"/>
        </w:rPr>
        <w:t>gr</w:t>
      </w:r>
      <w:r w:rsidR="00C52A01">
        <w:rPr>
          <w:rFonts w:ascii="Times New Roman" w:hAnsi="Times New Roman" w:cs="Times New Roman"/>
        </w:rPr>
        <w:t>a</w:t>
      </w:r>
      <w:r w:rsidR="00A9220B">
        <w:rPr>
          <w:rFonts w:ascii="Times New Roman" w:hAnsi="Times New Roman" w:cs="Times New Roman"/>
        </w:rPr>
        <w:t>nted the</w:t>
      </w:r>
      <w:r w:rsidR="0009350E">
        <w:rPr>
          <w:rFonts w:ascii="Times New Roman" w:hAnsi="Times New Roman" w:cs="Times New Roman"/>
        </w:rPr>
        <w:t xml:space="preserve"> application to amend</w:t>
      </w:r>
      <w:r w:rsidR="00894454">
        <w:rPr>
          <w:rFonts w:ascii="Times New Roman" w:hAnsi="Times New Roman" w:cs="Times New Roman"/>
        </w:rPr>
        <w:t xml:space="preserve">, leaving the question of whether it had been made </w:t>
      </w:r>
      <w:r w:rsidR="00894454" w:rsidRPr="00A61951">
        <w:rPr>
          <w:rFonts w:ascii="Times New Roman" w:hAnsi="Times New Roman" w:cs="Times New Roman"/>
        </w:rPr>
        <w:t xml:space="preserve">too late </w:t>
      </w:r>
      <w:r w:rsidR="00894454">
        <w:rPr>
          <w:rFonts w:ascii="Times New Roman" w:hAnsi="Times New Roman" w:cs="Times New Roman"/>
        </w:rPr>
        <w:t>to</w:t>
      </w:r>
      <w:r w:rsidR="00894454" w:rsidRPr="00A61951">
        <w:rPr>
          <w:rFonts w:ascii="Times New Roman" w:hAnsi="Times New Roman" w:cs="Times New Roman"/>
        </w:rPr>
        <w:t xml:space="preserve"> a further hearing.</w:t>
      </w:r>
      <w:r w:rsidR="00A9220B">
        <w:rPr>
          <w:rFonts w:ascii="Times New Roman" w:hAnsi="Times New Roman" w:cs="Times New Roman"/>
        </w:rPr>
        <w:t xml:space="preserve"> </w:t>
      </w:r>
      <w:r w:rsidR="002857F9">
        <w:rPr>
          <w:rFonts w:ascii="Times New Roman" w:hAnsi="Times New Roman" w:cs="Times New Roman"/>
        </w:rPr>
        <w:t>It considered that s</w:t>
      </w:r>
      <w:r>
        <w:rPr>
          <w:rFonts w:ascii="Times New Roman" w:hAnsi="Times New Roman" w:cs="Times New Roman"/>
        </w:rPr>
        <w:t xml:space="preserve">ection 47B did not make a claim for a co-worker’s detriment </w:t>
      </w:r>
      <w:r w:rsidR="00A524CB">
        <w:rPr>
          <w:rFonts w:ascii="Times New Roman" w:hAnsi="Times New Roman" w:cs="Times New Roman"/>
        </w:rPr>
        <w:t>dep</w:t>
      </w:r>
      <w:r w:rsidR="00915E18">
        <w:rPr>
          <w:rFonts w:ascii="Times New Roman" w:hAnsi="Times New Roman" w:cs="Times New Roman"/>
        </w:rPr>
        <w:t>end on</w:t>
      </w:r>
      <w:r>
        <w:rPr>
          <w:rFonts w:ascii="Times New Roman" w:hAnsi="Times New Roman" w:cs="Times New Roman"/>
        </w:rPr>
        <w:t xml:space="preserve"> whether the co-worker had been joined</w:t>
      </w:r>
      <w:r w:rsidR="00AE7C1A">
        <w:rPr>
          <w:rFonts w:ascii="Times New Roman" w:hAnsi="Times New Roman" w:cs="Times New Roman"/>
        </w:rPr>
        <w:t>,</w:t>
      </w:r>
      <w:r>
        <w:rPr>
          <w:rFonts w:ascii="Times New Roman" w:hAnsi="Times New Roman" w:cs="Times New Roman"/>
        </w:rPr>
        <w:t xml:space="preserve"> because the employer was in any event vicariously liable for that detriment.</w:t>
      </w:r>
      <w:r w:rsidR="009067EE">
        <w:rPr>
          <w:rFonts w:ascii="Times New Roman" w:hAnsi="Times New Roman" w:cs="Times New Roman"/>
        </w:rPr>
        <w:t xml:space="preserve"> </w:t>
      </w:r>
    </w:p>
    <w:p w14:paraId="05EC39D5" w14:textId="29FD617F" w:rsidR="00876D67" w:rsidRPr="00572CA6"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572CA6">
        <w:rPr>
          <w:rFonts w:ascii="Times New Roman" w:hAnsi="Times New Roman" w:cs="Times New Roman"/>
        </w:rPr>
        <w:t>On appeal</w:t>
      </w:r>
      <w:r w:rsidR="00C500B1">
        <w:rPr>
          <w:rFonts w:ascii="Times New Roman" w:hAnsi="Times New Roman" w:cs="Times New Roman"/>
        </w:rPr>
        <w:t xml:space="preserve"> to the EAT</w:t>
      </w:r>
      <w:r w:rsidRPr="00572CA6">
        <w:rPr>
          <w:rFonts w:ascii="Times New Roman" w:hAnsi="Times New Roman" w:cs="Times New Roman"/>
        </w:rPr>
        <w:t xml:space="preserve">, the employer argued that section 47B(2) barred a new claim </w:t>
      </w:r>
      <w:proofErr w:type="gramStart"/>
      <w:r w:rsidRPr="00572CA6">
        <w:rPr>
          <w:rFonts w:ascii="Times New Roman" w:hAnsi="Times New Roman" w:cs="Times New Roman"/>
        </w:rPr>
        <w:t>in particular because</w:t>
      </w:r>
      <w:proofErr w:type="gramEnd"/>
      <w:r w:rsidRPr="00572CA6">
        <w:rPr>
          <w:rFonts w:ascii="Times New Roman" w:hAnsi="Times New Roman" w:cs="Times New Roman"/>
        </w:rPr>
        <w:t xml:space="preserve"> such a claim could not be made without a concurrent claim against </w:t>
      </w:r>
      <w:r w:rsidRPr="00572CA6">
        <w:rPr>
          <w:rFonts w:ascii="Times New Roman" w:hAnsi="Times New Roman" w:cs="Times New Roman"/>
        </w:rPr>
        <w:lastRenderedPageBreak/>
        <w:t xml:space="preserve">Mr Strang, and no such amendment </w:t>
      </w:r>
      <w:r w:rsidR="008D3088" w:rsidRPr="00572CA6">
        <w:rPr>
          <w:rFonts w:ascii="Times New Roman" w:hAnsi="Times New Roman" w:cs="Times New Roman"/>
        </w:rPr>
        <w:t xml:space="preserve">had been </w:t>
      </w:r>
      <w:r w:rsidRPr="00572CA6">
        <w:rPr>
          <w:rFonts w:ascii="Times New Roman" w:hAnsi="Times New Roman" w:cs="Times New Roman"/>
        </w:rPr>
        <w:t xml:space="preserve">applied for. </w:t>
      </w:r>
      <w:r w:rsidR="00572CA6">
        <w:rPr>
          <w:rFonts w:ascii="Times New Roman" w:hAnsi="Times New Roman" w:cs="Times New Roman"/>
        </w:rPr>
        <w:t>It</w:t>
      </w:r>
      <w:r w:rsidRPr="00572CA6">
        <w:rPr>
          <w:rFonts w:ascii="Times New Roman" w:hAnsi="Times New Roman" w:cs="Times New Roman"/>
        </w:rPr>
        <w:t xml:space="preserve"> submitted that a claim against the co-worker was a necessary pre-condition for a claim based on the employer’s vicarious liability for the co-worker’s detriment. The employee submitted that section 47B imposed no such requirement, and there was no suggestion to that effect in </w:t>
      </w:r>
      <w:r w:rsidRPr="00572CA6">
        <w:rPr>
          <w:rFonts w:ascii="Times New Roman" w:hAnsi="Times New Roman" w:cs="Times New Roman"/>
          <w:i/>
          <w:iCs/>
        </w:rPr>
        <w:t>Osipov</w:t>
      </w:r>
      <w:r w:rsidRPr="00572CA6">
        <w:rPr>
          <w:rFonts w:ascii="Times New Roman" w:hAnsi="Times New Roman" w:cs="Times New Roman"/>
        </w:rPr>
        <w:t>.</w:t>
      </w:r>
    </w:p>
    <w:p w14:paraId="52735F3E" w14:textId="42DDEB79"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EAT </w:t>
      </w:r>
      <w:r w:rsidRPr="00DF632E">
        <w:rPr>
          <w:rFonts w:ascii="Times New Roman" w:hAnsi="Times New Roman" w:cs="Times New Roman"/>
        </w:rPr>
        <w:t xml:space="preserve">considered that this was an issue of statutory construction. </w:t>
      </w:r>
      <w:r>
        <w:rPr>
          <w:rFonts w:ascii="Times New Roman" w:hAnsi="Times New Roman" w:cs="Times New Roman"/>
          <w:i/>
          <w:iCs/>
        </w:rPr>
        <w:t xml:space="preserve">Osipov </w:t>
      </w:r>
      <w:r>
        <w:rPr>
          <w:rFonts w:ascii="Times New Roman" w:hAnsi="Times New Roman" w:cs="Times New Roman"/>
        </w:rPr>
        <w:t xml:space="preserve">was binding authority for the proposition that a claim can be brought against a co-worker under section 47B(1A) even when the co-worker’s act amounted to a dismissal (paragraph 25). At </w:t>
      </w:r>
      <w:r w:rsidRPr="00DF632E">
        <w:rPr>
          <w:rFonts w:ascii="Times New Roman" w:hAnsi="Times New Roman" w:cs="Times New Roman"/>
        </w:rPr>
        <w:t xml:space="preserve">first sight, that </w:t>
      </w:r>
      <w:r w:rsidR="0050140D">
        <w:rPr>
          <w:rFonts w:ascii="Times New Roman" w:hAnsi="Times New Roman" w:cs="Times New Roman"/>
        </w:rPr>
        <w:t>“</w:t>
      </w:r>
      <w:r w:rsidRPr="00DF632E">
        <w:rPr>
          <w:rFonts w:ascii="Times New Roman" w:hAnsi="Times New Roman" w:cs="Times New Roman"/>
        </w:rPr>
        <w:t>sits uneasily</w:t>
      </w:r>
      <w:r w:rsidR="00FB7615">
        <w:rPr>
          <w:rFonts w:ascii="Times New Roman" w:hAnsi="Times New Roman" w:cs="Times New Roman"/>
        </w:rPr>
        <w:t>”</w:t>
      </w:r>
      <w:r w:rsidRPr="00DF632E">
        <w:rPr>
          <w:rFonts w:ascii="Times New Roman" w:hAnsi="Times New Roman" w:cs="Times New Roman"/>
        </w:rPr>
        <w:t xml:space="preserve"> with 47B(2). </w:t>
      </w:r>
      <w:r>
        <w:rPr>
          <w:rFonts w:ascii="Times New Roman" w:hAnsi="Times New Roman" w:cs="Times New Roman"/>
        </w:rPr>
        <w:t xml:space="preserve">The EAT then asked whether </w:t>
      </w:r>
      <w:r>
        <w:rPr>
          <w:rFonts w:ascii="Times New Roman" w:hAnsi="Times New Roman" w:cs="Times New Roman"/>
          <w:i/>
          <w:iCs/>
        </w:rPr>
        <w:t xml:space="preserve">Osipov </w:t>
      </w:r>
      <w:r>
        <w:rPr>
          <w:rFonts w:ascii="Times New Roman" w:hAnsi="Times New Roman" w:cs="Times New Roman"/>
        </w:rPr>
        <w:t>went any further</w:t>
      </w:r>
      <w:r w:rsidR="00954369">
        <w:rPr>
          <w:rFonts w:ascii="Times New Roman" w:hAnsi="Times New Roman" w:cs="Times New Roman"/>
        </w:rPr>
        <w:t xml:space="preserve"> than that</w:t>
      </w:r>
      <w:r>
        <w:rPr>
          <w:rFonts w:ascii="Times New Roman" w:hAnsi="Times New Roman" w:cs="Times New Roman"/>
        </w:rPr>
        <w:t xml:space="preserve">. </w:t>
      </w:r>
    </w:p>
    <w:p w14:paraId="25394E4A" w14:textId="47794AED" w:rsidR="0089554B" w:rsidRPr="00323B9D"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323B9D">
        <w:rPr>
          <w:rFonts w:ascii="Times New Roman" w:hAnsi="Times New Roman" w:cs="Times New Roman"/>
        </w:rPr>
        <w:t xml:space="preserve">The EAT noted that a detriment claim can now be brought against a co-worker, and that it could also be brought against the employer </w:t>
      </w:r>
      <w:proofErr w:type="gramStart"/>
      <w:r w:rsidRPr="00323B9D">
        <w:rPr>
          <w:rFonts w:ascii="Times New Roman" w:hAnsi="Times New Roman" w:cs="Times New Roman"/>
        </w:rPr>
        <w:t>on the basis of</w:t>
      </w:r>
      <w:proofErr w:type="gramEnd"/>
      <w:r w:rsidRPr="00323B9D">
        <w:rPr>
          <w:rFonts w:ascii="Times New Roman" w:hAnsi="Times New Roman" w:cs="Times New Roman"/>
        </w:rPr>
        <w:t xml:space="preserve"> vicarious liability. Section 47B(2) continued to provide that the section </w:t>
      </w:r>
      <w:proofErr w:type="gramStart"/>
      <w:r w:rsidRPr="00323B9D">
        <w:rPr>
          <w:rFonts w:ascii="Times New Roman" w:hAnsi="Times New Roman" w:cs="Times New Roman"/>
        </w:rPr>
        <w:t>as a whole does</w:t>
      </w:r>
      <w:proofErr w:type="gramEnd"/>
      <w:r w:rsidRPr="00323B9D">
        <w:rPr>
          <w:rFonts w:ascii="Times New Roman" w:hAnsi="Times New Roman" w:cs="Times New Roman"/>
        </w:rPr>
        <w:t xml:space="preserve"> not apply to a detriment which amounts to a dismissal (within Part X). The question was whether section 47B can nevertheless found a claim against an employer arising from a co-worker’s act amounting to a dismissal. </w:t>
      </w:r>
    </w:p>
    <w:p w14:paraId="087DF235" w14:textId="3096065D"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5A267E">
        <w:rPr>
          <w:rFonts w:ascii="Times New Roman" w:hAnsi="Times New Roman" w:cs="Times New Roman"/>
        </w:rPr>
        <w:t xml:space="preserve">The EAT said </w:t>
      </w:r>
      <w:r>
        <w:rPr>
          <w:rFonts w:ascii="Times New Roman" w:hAnsi="Times New Roman" w:cs="Times New Roman"/>
        </w:rPr>
        <w:t xml:space="preserve">in paragraph 42 </w:t>
      </w:r>
      <w:r w:rsidRPr="005A267E">
        <w:rPr>
          <w:rFonts w:ascii="Times New Roman" w:hAnsi="Times New Roman" w:cs="Times New Roman"/>
        </w:rPr>
        <w:t xml:space="preserve">that the position of </w:t>
      </w:r>
      <w:r>
        <w:rPr>
          <w:rFonts w:ascii="Times New Roman" w:hAnsi="Times New Roman" w:cs="Times New Roman"/>
        </w:rPr>
        <w:t xml:space="preserve">the </w:t>
      </w:r>
      <w:r w:rsidRPr="005A267E">
        <w:rPr>
          <w:rFonts w:ascii="Times New Roman" w:hAnsi="Times New Roman" w:cs="Times New Roman"/>
        </w:rPr>
        <w:t>employer was not part of the claim, so that</w:t>
      </w:r>
      <w:r w:rsidR="00D22A94">
        <w:rPr>
          <w:rFonts w:ascii="Times New Roman" w:hAnsi="Times New Roman" w:cs="Times New Roman"/>
        </w:rPr>
        <w:t>,</w:t>
      </w:r>
      <w:r w:rsidRPr="005A267E">
        <w:rPr>
          <w:rFonts w:ascii="Times New Roman" w:hAnsi="Times New Roman" w:cs="Times New Roman"/>
        </w:rPr>
        <w:t xml:space="preserve"> while </w:t>
      </w:r>
      <w:r>
        <w:rPr>
          <w:rFonts w:ascii="Times New Roman" w:hAnsi="Times New Roman" w:cs="Times New Roman"/>
          <w:i/>
          <w:iCs/>
        </w:rPr>
        <w:t xml:space="preserve">Osipov </w:t>
      </w:r>
      <w:r w:rsidR="00323B9D">
        <w:rPr>
          <w:rFonts w:ascii="Times New Roman" w:hAnsi="Times New Roman" w:cs="Times New Roman"/>
        </w:rPr>
        <w:t xml:space="preserve">contemplated </w:t>
      </w:r>
      <w:r w:rsidRPr="005A267E">
        <w:rPr>
          <w:rFonts w:ascii="Times New Roman" w:hAnsi="Times New Roman" w:cs="Times New Roman"/>
        </w:rPr>
        <w:t xml:space="preserve">that vicarious liability of </w:t>
      </w:r>
      <w:r w:rsidR="00175C78">
        <w:rPr>
          <w:rFonts w:ascii="Times New Roman" w:hAnsi="Times New Roman" w:cs="Times New Roman"/>
        </w:rPr>
        <w:t xml:space="preserve">the </w:t>
      </w:r>
      <w:r w:rsidRPr="005A267E">
        <w:rPr>
          <w:rFonts w:ascii="Times New Roman" w:hAnsi="Times New Roman" w:cs="Times New Roman"/>
        </w:rPr>
        <w:t xml:space="preserve">employer could or would follow from a co-worker’s liability, the position of the employer </w:t>
      </w:r>
      <w:r w:rsidR="00555A90">
        <w:rPr>
          <w:rFonts w:ascii="Times New Roman" w:hAnsi="Times New Roman" w:cs="Times New Roman"/>
        </w:rPr>
        <w:t xml:space="preserve">was </w:t>
      </w:r>
      <w:r w:rsidRPr="005A267E">
        <w:rPr>
          <w:rFonts w:ascii="Times New Roman" w:hAnsi="Times New Roman" w:cs="Times New Roman"/>
        </w:rPr>
        <w:t xml:space="preserve">not in issue and was not part of </w:t>
      </w:r>
      <w:r>
        <w:rPr>
          <w:rFonts w:ascii="Times New Roman" w:hAnsi="Times New Roman" w:cs="Times New Roman"/>
        </w:rPr>
        <w:t xml:space="preserve">the </w:t>
      </w:r>
      <w:r w:rsidRPr="005A267E">
        <w:rPr>
          <w:rFonts w:ascii="Times New Roman" w:hAnsi="Times New Roman" w:cs="Times New Roman"/>
        </w:rPr>
        <w:t xml:space="preserve">ratio. </w:t>
      </w:r>
      <w:r>
        <w:rPr>
          <w:rFonts w:ascii="Times New Roman" w:hAnsi="Times New Roman" w:cs="Times New Roman"/>
        </w:rPr>
        <w:t>In paragraph 43, the EAT said that the p</w:t>
      </w:r>
      <w:r w:rsidRPr="005A267E">
        <w:rPr>
          <w:rFonts w:ascii="Times New Roman" w:hAnsi="Times New Roman" w:cs="Times New Roman"/>
        </w:rPr>
        <w:t xml:space="preserve">resent case </w:t>
      </w:r>
      <w:r>
        <w:rPr>
          <w:rFonts w:ascii="Times New Roman" w:hAnsi="Times New Roman" w:cs="Times New Roman"/>
        </w:rPr>
        <w:t xml:space="preserve">was </w:t>
      </w:r>
      <w:r w:rsidRPr="005A267E">
        <w:rPr>
          <w:rFonts w:ascii="Times New Roman" w:hAnsi="Times New Roman" w:cs="Times New Roman"/>
        </w:rPr>
        <w:t>different</w:t>
      </w:r>
      <w:r>
        <w:rPr>
          <w:rFonts w:ascii="Times New Roman" w:hAnsi="Times New Roman" w:cs="Times New Roman"/>
        </w:rPr>
        <w:t xml:space="preserve">. There was </w:t>
      </w:r>
      <w:r w:rsidRPr="005A267E">
        <w:rPr>
          <w:rFonts w:ascii="Times New Roman" w:hAnsi="Times New Roman" w:cs="Times New Roman"/>
        </w:rPr>
        <w:t xml:space="preserve">no claim against </w:t>
      </w:r>
      <w:r>
        <w:rPr>
          <w:rFonts w:ascii="Times New Roman" w:hAnsi="Times New Roman" w:cs="Times New Roman"/>
        </w:rPr>
        <w:t xml:space="preserve">Mr </w:t>
      </w:r>
      <w:r w:rsidRPr="005A267E">
        <w:rPr>
          <w:rFonts w:ascii="Times New Roman" w:hAnsi="Times New Roman" w:cs="Times New Roman"/>
        </w:rPr>
        <w:t xml:space="preserve">Strang. </w:t>
      </w:r>
      <w:r>
        <w:rPr>
          <w:rFonts w:ascii="Times New Roman" w:hAnsi="Times New Roman" w:cs="Times New Roman"/>
        </w:rPr>
        <w:t>The ET had to decide whether there could be a claim against Mr Strang under section 47B(1A) but directed solely at the employer under section 47B(1B).</w:t>
      </w:r>
    </w:p>
    <w:p w14:paraId="62C195B2" w14:textId="77777777"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EAT observed in </w:t>
      </w:r>
      <w:r w:rsidRPr="00204BE4">
        <w:rPr>
          <w:rFonts w:asciiTheme="majorBidi" w:hAnsiTheme="majorBidi" w:cstheme="majorBidi"/>
        </w:rPr>
        <w:t>paragraph</w:t>
      </w:r>
      <w:r>
        <w:rPr>
          <w:rFonts w:ascii="Times New Roman" w:hAnsi="Times New Roman" w:cs="Times New Roman"/>
        </w:rPr>
        <w:t xml:space="preserve"> 47 that it would be odd if Parliament had barred a claim against an employer for a detriment ‘which amounts to dismissal’ but allowed such a claim to be made under section 47B(1B) in addition to or instead of a claim under section 103A. In virtually every case a dismissal would be communicated to an employee by another person.</w:t>
      </w:r>
    </w:p>
    <w:p w14:paraId="3798C194" w14:textId="0B2632AD"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employer company was the only respondent to the claim (whether amended or unamended). Mr Strang owned the company; his acts </w:t>
      </w:r>
      <w:proofErr w:type="gramStart"/>
      <w:r>
        <w:rPr>
          <w:rFonts w:ascii="Times New Roman" w:hAnsi="Times New Roman" w:cs="Times New Roman"/>
        </w:rPr>
        <w:t xml:space="preserve">in </w:t>
      </w:r>
      <w:r w:rsidR="00237E76">
        <w:rPr>
          <w:rFonts w:ascii="Times New Roman" w:hAnsi="Times New Roman" w:cs="Times New Roman"/>
        </w:rPr>
        <w:t xml:space="preserve">the </w:t>
      </w:r>
      <w:r>
        <w:rPr>
          <w:rFonts w:ascii="Times New Roman" w:hAnsi="Times New Roman" w:cs="Times New Roman"/>
        </w:rPr>
        <w:t>course of</w:t>
      </w:r>
      <w:proofErr w:type="gramEnd"/>
      <w:r>
        <w:rPr>
          <w:rFonts w:ascii="Times New Roman" w:hAnsi="Times New Roman" w:cs="Times New Roman"/>
        </w:rPr>
        <w:t xml:space="preserve"> business were the acts of the company. To describe him as a co-worker, not the employer, or to say that Mr Rice was dismissed by Mr Strang rather than the employer, or to say that Mr Rice was dismissed by Mr Strang instead of or as well as by the company</w:t>
      </w:r>
      <w:r w:rsidR="00812261">
        <w:rPr>
          <w:rFonts w:ascii="Times New Roman" w:hAnsi="Times New Roman" w:cs="Times New Roman"/>
        </w:rPr>
        <w:t>,</w:t>
      </w:r>
      <w:r>
        <w:rPr>
          <w:rFonts w:ascii="Times New Roman" w:hAnsi="Times New Roman" w:cs="Times New Roman"/>
        </w:rPr>
        <w:t xml:space="preserve"> was to draw a purely technical distinction. There being no real factual distinction between the company and Mr Strang, there was also no realistic prospect of a reasonable steps defence (paragraph 48).</w:t>
      </w:r>
    </w:p>
    <w:p w14:paraId="7A472487" w14:textId="440FB1A1"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6E1868">
        <w:rPr>
          <w:rFonts w:ascii="Times New Roman" w:hAnsi="Times New Roman" w:cs="Times New Roman"/>
        </w:rPr>
        <w:t xml:space="preserve">The claim was one which could be, and indeed had already been, advanced as a claim for automatically unfair dismissal under section 103A. It was not a case like </w:t>
      </w:r>
      <w:r w:rsidRPr="006E1868">
        <w:rPr>
          <w:rFonts w:ascii="Times New Roman" w:hAnsi="Times New Roman" w:cs="Times New Roman"/>
          <w:i/>
          <w:iCs/>
        </w:rPr>
        <w:t xml:space="preserve">Osipov </w:t>
      </w:r>
      <w:r w:rsidRPr="006E1868">
        <w:rPr>
          <w:rFonts w:ascii="Times New Roman" w:hAnsi="Times New Roman" w:cs="Times New Roman"/>
        </w:rPr>
        <w:t xml:space="preserve">in which a claimant wished to advance a claim which could not be advanced under section 103A (paragraph 49). The application of section 47B </w:t>
      </w:r>
      <w:r>
        <w:rPr>
          <w:rFonts w:ascii="Times New Roman" w:hAnsi="Times New Roman" w:cs="Times New Roman"/>
        </w:rPr>
        <w:t xml:space="preserve">did </w:t>
      </w:r>
      <w:r w:rsidRPr="006E1868">
        <w:rPr>
          <w:rFonts w:ascii="Times New Roman" w:hAnsi="Times New Roman" w:cs="Times New Roman"/>
        </w:rPr>
        <w:t xml:space="preserve">not depend on </w:t>
      </w:r>
      <w:r>
        <w:rPr>
          <w:rFonts w:ascii="Times New Roman" w:hAnsi="Times New Roman" w:cs="Times New Roman"/>
        </w:rPr>
        <w:t xml:space="preserve">the </w:t>
      </w:r>
      <w:r w:rsidRPr="006E1868">
        <w:rPr>
          <w:rFonts w:ascii="Times New Roman" w:hAnsi="Times New Roman" w:cs="Times New Roman"/>
        </w:rPr>
        <w:t xml:space="preserve">outcome of </w:t>
      </w:r>
      <w:r>
        <w:rPr>
          <w:rFonts w:ascii="Times New Roman" w:hAnsi="Times New Roman" w:cs="Times New Roman"/>
        </w:rPr>
        <w:t xml:space="preserve">the </w:t>
      </w:r>
      <w:r w:rsidRPr="006E1868">
        <w:rPr>
          <w:rFonts w:ascii="Times New Roman" w:hAnsi="Times New Roman" w:cs="Times New Roman"/>
        </w:rPr>
        <w:t xml:space="preserve">claim. </w:t>
      </w:r>
      <w:r>
        <w:rPr>
          <w:rFonts w:ascii="Times New Roman" w:hAnsi="Times New Roman" w:cs="Times New Roman"/>
        </w:rPr>
        <w:t>It d</w:t>
      </w:r>
      <w:r w:rsidRPr="006E1868">
        <w:rPr>
          <w:rFonts w:ascii="Times New Roman" w:hAnsi="Times New Roman" w:cs="Times New Roman"/>
        </w:rPr>
        <w:t>epend</w:t>
      </w:r>
      <w:r>
        <w:rPr>
          <w:rFonts w:ascii="Times New Roman" w:hAnsi="Times New Roman" w:cs="Times New Roman"/>
        </w:rPr>
        <w:t>ed</w:t>
      </w:r>
      <w:r w:rsidRPr="006E1868">
        <w:rPr>
          <w:rFonts w:ascii="Times New Roman" w:hAnsi="Times New Roman" w:cs="Times New Roman"/>
        </w:rPr>
        <w:t xml:space="preserve"> on whether </w:t>
      </w:r>
      <w:r w:rsidR="005F1624">
        <w:rPr>
          <w:rFonts w:ascii="Times New Roman" w:hAnsi="Times New Roman" w:cs="Times New Roman"/>
        </w:rPr>
        <w:t xml:space="preserve">the </w:t>
      </w:r>
      <w:r w:rsidRPr="006E1868">
        <w:rPr>
          <w:rFonts w:ascii="Times New Roman" w:hAnsi="Times New Roman" w:cs="Times New Roman"/>
        </w:rPr>
        <w:t>alleg</w:t>
      </w:r>
      <w:r>
        <w:rPr>
          <w:rFonts w:ascii="Times New Roman" w:hAnsi="Times New Roman" w:cs="Times New Roman"/>
        </w:rPr>
        <w:t>e</w:t>
      </w:r>
      <w:r w:rsidRPr="006E1868">
        <w:rPr>
          <w:rFonts w:ascii="Times New Roman" w:hAnsi="Times New Roman" w:cs="Times New Roman"/>
        </w:rPr>
        <w:t>d detriment amount</w:t>
      </w:r>
      <w:r w:rsidR="00B82D79">
        <w:rPr>
          <w:rFonts w:ascii="Times New Roman" w:hAnsi="Times New Roman" w:cs="Times New Roman"/>
        </w:rPr>
        <w:t>ed</w:t>
      </w:r>
      <w:r w:rsidRPr="006E1868">
        <w:rPr>
          <w:rFonts w:ascii="Times New Roman" w:hAnsi="Times New Roman" w:cs="Times New Roman"/>
        </w:rPr>
        <w:t xml:space="preserve"> to dismissal </w:t>
      </w:r>
      <w:r>
        <w:rPr>
          <w:rFonts w:ascii="Times New Roman" w:hAnsi="Times New Roman" w:cs="Times New Roman"/>
        </w:rPr>
        <w:t xml:space="preserve">(within </w:t>
      </w:r>
      <w:r w:rsidRPr="006E1868">
        <w:rPr>
          <w:rFonts w:ascii="Times New Roman" w:hAnsi="Times New Roman" w:cs="Times New Roman"/>
        </w:rPr>
        <w:lastRenderedPageBreak/>
        <w:t>Part X</w:t>
      </w:r>
      <w:r>
        <w:rPr>
          <w:rFonts w:ascii="Times New Roman" w:hAnsi="Times New Roman" w:cs="Times New Roman"/>
        </w:rPr>
        <w:t>)</w:t>
      </w:r>
      <w:r w:rsidRPr="006E1868">
        <w:rPr>
          <w:rFonts w:ascii="Times New Roman" w:hAnsi="Times New Roman" w:cs="Times New Roman"/>
        </w:rPr>
        <w:t xml:space="preserve"> (</w:t>
      </w:r>
      <w:r>
        <w:rPr>
          <w:rFonts w:ascii="Times New Roman" w:hAnsi="Times New Roman" w:cs="Times New Roman"/>
        </w:rPr>
        <w:t xml:space="preserve">paragraph </w:t>
      </w:r>
      <w:r w:rsidRPr="006E1868">
        <w:rPr>
          <w:rFonts w:ascii="Times New Roman" w:hAnsi="Times New Roman" w:cs="Times New Roman"/>
        </w:rPr>
        <w:t>50).</w:t>
      </w:r>
      <w:r>
        <w:rPr>
          <w:rFonts w:ascii="Times New Roman" w:hAnsi="Times New Roman" w:cs="Times New Roman"/>
        </w:rPr>
        <w:t xml:space="preserve"> The EAT concluded that section 47B(2) did not apply to the amended claim and that the decision to give permission to amend was wrong.</w:t>
      </w:r>
    </w:p>
    <w:p w14:paraId="1651401D" w14:textId="1127B842"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In paragraph 53 the EAT made clear that its decision </w:t>
      </w:r>
      <w:r w:rsidR="0077177A">
        <w:rPr>
          <w:rFonts w:ascii="Times New Roman" w:hAnsi="Times New Roman" w:cs="Times New Roman"/>
        </w:rPr>
        <w:t xml:space="preserve">was </w:t>
      </w:r>
      <w:r>
        <w:rPr>
          <w:rFonts w:ascii="Times New Roman" w:hAnsi="Times New Roman" w:cs="Times New Roman"/>
        </w:rPr>
        <w:t xml:space="preserve">not based on the absence of any concurrent claim against Mr Strang. The EAT considered that the ET had been right to hold that that was not the critical factor. </w:t>
      </w:r>
    </w:p>
    <w:p w14:paraId="46154FC2" w14:textId="37708E77"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In paragraph 54 the EAT said that applying section 47B (as interpreted in </w:t>
      </w:r>
      <w:r>
        <w:rPr>
          <w:rFonts w:ascii="Times New Roman" w:hAnsi="Times New Roman" w:cs="Times New Roman"/>
          <w:i/>
          <w:iCs/>
        </w:rPr>
        <w:t>Osipov</w:t>
      </w:r>
      <w:r>
        <w:rPr>
          <w:rFonts w:ascii="Times New Roman" w:hAnsi="Times New Roman" w:cs="Times New Roman"/>
        </w:rPr>
        <w:t xml:space="preserve">), </w:t>
      </w:r>
      <w:r w:rsidR="00B930FA">
        <w:rPr>
          <w:rFonts w:ascii="Times New Roman" w:hAnsi="Times New Roman" w:cs="Times New Roman"/>
        </w:rPr>
        <w:t>“</w:t>
      </w:r>
      <w:r>
        <w:rPr>
          <w:rFonts w:ascii="Times New Roman" w:hAnsi="Times New Roman" w:cs="Times New Roman"/>
        </w:rPr>
        <w:t xml:space="preserve">all that was necessary was to scrutinise the proposed claim </w:t>
      </w:r>
      <w:r w:rsidR="002F3745">
        <w:rPr>
          <w:rFonts w:ascii="Times New Roman" w:hAnsi="Times New Roman" w:cs="Times New Roman"/>
        </w:rPr>
        <w:t xml:space="preserve">against the employer </w:t>
      </w:r>
      <w:r>
        <w:rPr>
          <w:rFonts w:ascii="Times New Roman" w:hAnsi="Times New Roman" w:cs="Times New Roman"/>
        </w:rPr>
        <w:t xml:space="preserve">and to ask whether </w:t>
      </w:r>
      <w:r w:rsidR="00172AE1">
        <w:rPr>
          <w:rFonts w:ascii="Times New Roman" w:hAnsi="Times New Roman" w:cs="Times New Roman"/>
        </w:rPr>
        <w:t xml:space="preserve">it was </w:t>
      </w:r>
      <w:r>
        <w:rPr>
          <w:rFonts w:ascii="Times New Roman" w:hAnsi="Times New Roman" w:cs="Times New Roman"/>
        </w:rPr>
        <w:t>based on</w:t>
      </w:r>
      <w:r w:rsidR="002F3745">
        <w:rPr>
          <w:rFonts w:ascii="Times New Roman" w:hAnsi="Times New Roman" w:cs="Times New Roman"/>
        </w:rPr>
        <w:t>…</w:t>
      </w:r>
      <w:r>
        <w:rPr>
          <w:rFonts w:ascii="Times New Roman" w:hAnsi="Times New Roman" w:cs="Times New Roman"/>
        </w:rPr>
        <w:t xml:space="preserve"> </w:t>
      </w:r>
      <w:r w:rsidR="002F3745" w:rsidRPr="00E45EA8">
        <w:rPr>
          <w:rFonts w:ascii="Times New Roman" w:hAnsi="Times New Roman" w:cs="Times New Roman"/>
          <w:i/>
          <w:iCs/>
        </w:rPr>
        <w:t>“</w:t>
      </w:r>
      <w:r w:rsidRPr="00E45EA8">
        <w:rPr>
          <w:rFonts w:ascii="Times New Roman" w:hAnsi="Times New Roman" w:cs="Times New Roman"/>
          <w:i/>
          <w:iCs/>
        </w:rPr>
        <w:t xml:space="preserve">detriments amounting to dismissal within the meaning of Part X; in other words </w:t>
      </w:r>
      <w:r w:rsidR="000939E7" w:rsidRPr="00E45EA8">
        <w:rPr>
          <w:rFonts w:ascii="Times New Roman" w:hAnsi="Times New Roman" w:cs="Times New Roman"/>
          <w:i/>
          <w:iCs/>
        </w:rPr>
        <w:t>to</w:t>
      </w:r>
      <w:r w:rsidRPr="00E45EA8">
        <w:rPr>
          <w:rFonts w:ascii="Times New Roman" w:hAnsi="Times New Roman" w:cs="Times New Roman"/>
          <w:i/>
          <w:iCs/>
        </w:rPr>
        <w:t xml:space="preserve"> detriment</w:t>
      </w:r>
      <w:r w:rsidR="000939E7" w:rsidRPr="00E45EA8">
        <w:rPr>
          <w:rFonts w:ascii="Times New Roman" w:hAnsi="Times New Roman" w:cs="Times New Roman"/>
          <w:i/>
          <w:iCs/>
        </w:rPr>
        <w:t>s</w:t>
      </w:r>
      <w:r w:rsidRPr="00E45EA8">
        <w:rPr>
          <w:rFonts w:ascii="Times New Roman" w:hAnsi="Times New Roman" w:cs="Times New Roman"/>
          <w:i/>
          <w:iCs/>
        </w:rPr>
        <w:t xml:space="preserve"> amounting to unfair dismissal</w:t>
      </w:r>
      <w:r w:rsidR="000939E7" w:rsidRPr="00E45EA8">
        <w:rPr>
          <w:rFonts w:ascii="Times New Roman" w:hAnsi="Times New Roman" w:cs="Times New Roman"/>
          <w:i/>
          <w:iCs/>
        </w:rPr>
        <w:t xml:space="preserve"> claims </w:t>
      </w:r>
      <w:r w:rsidRPr="00E45EA8">
        <w:rPr>
          <w:rFonts w:ascii="Times New Roman" w:hAnsi="Times New Roman" w:cs="Times New Roman"/>
          <w:i/>
          <w:iCs/>
        </w:rPr>
        <w:t>necessarily against the employer</w:t>
      </w:r>
      <w:r w:rsidR="003A3EF4" w:rsidRPr="00E45EA8">
        <w:rPr>
          <w:rFonts w:ascii="Times New Roman" w:hAnsi="Times New Roman" w:cs="Times New Roman"/>
          <w:i/>
          <w:iCs/>
        </w:rPr>
        <w:t>”</w:t>
      </w:r>
      <w:r>
        <w:rPr>
          <w:rFonts w:ascii="Times New Roman" w:hAnsi="Times New Roman" w:cs="Times New Roman"/>
        </w:rPr>
        <w:t xml:space="preserve">. </w:t>
      </w:r>
      <w:r w:rsidR="003A3EF4">
        <w:rPr>
          <w:rFonts w:ascii="Times New Roman" w:hAnsi="Times New Roman" w:cs="Times New Roman"/>
        </w:rPr>
        <w:t xml:space="preserve">That question in </w:t>
      </w:r>
      <w:r>
        <w:rPr>
          <w:rFonts w:ascii="Times New Roman" w:hAnsi="Times New Roman" w:cs="Times New Roman"/>
        </w:rPr>
        <w:t>this case</w:t>
      </w:r>
      <w:r w:rsidR="003A3EF4">
        <w:rPr>
          <w:rFonts w:ascii="Times New Roman" w:hAnsi="Times New Roman" w:cs="Times New Roman"/>
        </w:rPr>
        <w:t xml:space="preserve"> could only receive an affirmative answer.</w:t>
      </w:r>
      <w:r w:rsidR="0065520F">
        <w:rPr>
          <w:rFonts w:ascii="Times New Roman" w:hAnsi="Times New Roman" w:cs="Times New Roman"/>
        </w:rPr>
        <w:t>”</w:t>
      </w:r>
    </w:p>
    <w:p w14:paraId="64A920C3" w14:textId="6A86B473"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EAT </w:t>
      </w:r>
      <w:r w:rsidR="00D33822">
        <w:rPr>
          <w:rFonts w:ascii="Times New Roman" w:hAnsi="Times New Roman" w:cs="Times New Roman"/>
        </w:rPr>
        <w:t xml:space="preserve">accordingly </w:t>
      </w:r>
      <w:r w:rsidRPr="00204BE4">
        <w:rPr>
          <w:rFonts w:asciiTheme="majorBidi" w:hAnsiTheme="majorBidi" w:cstheme="majorBidi"/>
        </w:rPr>
        <w:t>allowed</w:t>
      </w:r>
      <w:r>
        <w:rPr>
          <w:rFonts w:ascii="Times New Roman" w:hAnsi="Times New Roman" w:cs="Times New Roman"/>
        </w:rPr>
        <w:t xml:space="preserve"> the employer’s appeal.</w:t>
      </w:r>
    </w:p>
    <w:p w14:paraId="475AB9CC" w14:textId="016587C1" w:rsidR="00876D67" w:rsidRPr="002F0D33" w:rsidRDefault="00876D67" w:rsidP="00AC2BC7">
      <w:pPr>
        <w:spacing w:before="120" w:after="360"/>
        <w:jc w:val="both"/>
        <w:rPr>
          <w:i/>
          <w:iCs/>
        </w:rPr>
      </w:pPr>
      <w:r>
        <w:rPr>
          <w:i/>
          <w:iCs/>
        </w:rPr>
        <w:t>Barton Tu</w:t>
      </w:r>
      <w:r w:rsidR="00400F24">
        <w:rPr>
          <w:i/>
          <w:iCs/>
        </w:rPr>
        <w:t>r</w:t>
      </w:r>
      <w:r>
        <w:rPr>
          <w:i/>
          <w:iCs/>
        </w:rPr>
        <w:t>ns</w:t>
      </w:r>
    </w:p>
    <w:p w14:paraId="7E96A298" w14:textId="0B1412D1"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523BE9">
        <w:rPr>
          <w:rFonts w:ascii="Times New Roman" w:hAnsi="Times New Roman" w:cs="Times New Roman"/>
        </w:rPr>
        <w:t xml:space="preserve">Ms Treadwell brought a complaint of </w:t>
      </w:r>
      <w:r w:rsidR="00C42A41">
        <w:rPr>
          <w:rFonts w:ascii="Times New Roman" w:hAnsi="Times New Roman" w:cs="Times New Roman"/>
        </w:rPr>
        <w:t xml:space="preserve">automatically </w:t>
      </w:r>
      <w:r w:rsidRPr="00523BE9">
        <w:rPr>
          <w:rFonts w:ascii="Times New Roman" w:hAnsi="Times New Roman" w:cs="Times New Roman"/>
        </w:rPr>
        <w:t>unfair dismissal based on her whistleblowing under section 103A of the 1996 Act</w:t>
      </w:r>
      <w:r w:rsidR="007A08BA">
        <w:rPr>
          <w:rFonts w:ascii="Times New Roman" w:hAnsi="Times New Roman" w:cs="Times New Roman"/>
        </w:rPr>
        <w:t xml:space="preserve"> on the basis she had disclosed information within section 43B(1)</w:t>
      </w:r>
      <w:r w:rsidR="00F0136A">
        <w:rPr>
          <w:rFonts w:ascii="Times New Roman" w:hAnsi="Times New Roman" w:cs="Times New Roman"/>
        </w:rPr>
        <w:t xml:space="preserve">(c) (information tending to show the health or safety of any individual has been, is being or is likely to be endangered). </w:t>
      </w:r>
      <w:r w:rsidR="003025F4">
        <w:rPr>
          <w:rFonts w:ascii="Times New Roman" w:hAnsi="Times New Roman" w:cs="Times New Roman"/>
        </w:rPr>
        <w:t>The Claimant also brought a complaint of automatically unfair dismissal under Section 100(1)(c) of the 1996 Act.</w:t>
      </w:r>
      <w:r w:rsidRPr="00523BE9">
        <w:rPr>
          <w:rFonts w:ascii="Times New Roman" w:hAnsi="Times New Roman" w:cs="Times New Roman"/>
        </w:rPr>
        <w:t xml:space="preserve"> She had not been employed for long enough to bring an ordinary claim of unfair dismissal. She applied to amend her claim to include complaints of being subjected to </w:t>
      </w:r>
      <w:r w:rsidR="002F6E14">
        <w:rPr>
          <w:rFonts w:ascii="Times New Roman" w:hAnsi="Times New Roman" w:cs="Times New Roman"/>
        </w:rPr>
        <w:t xml:space="preserve">non-dismissal </w:t>
      </w:r>
      <w:r w:rsidRPr="00523BE9">
        <w:rPr>
          <w:rFonts w:ascii="Times New Roman" w:hAnsi="Times New Roman" w:cs="Times New Roman"/>
        </w:rPr>
        <w:t>detriments because she had made protected disclosures (pursuant to section 47B of the 1996 Act). The detriments on which she wished to rely included her dismissal.</w:t>
      </w:r>
      <w:r w:rsidR="001618C6">
        <w:rPr>
          <w:rFonts w:ascii="Times New Roman" w:hAnsi="Times New Roman" w:cs="Times New Roman"/>
        </w:rPr>
        <w:t xml:space="preserve"> She </w:t>
      </w:r>
      <w:r w:rsidR="001618C6" w:rsidRPr="002D48F9">
        <w:rPr>
          <w:rFonts w:ascii="Times New Roman" w:hAnsi="Times New Roman" w:cs="Times New Roman"/>
        </w:rPr>
        <w:t xml:space="preserve">relied on </w:t>
      </w:r>
      <w:r w:rsidR="001618C6" w:rsidRPr="002D48F9">
        <w:rPr>
          <w:rFonts w:ascii="Times New Roman" w:hAnsi="Times New Roman" w:cs="Times New Roman"/>
          <w:i/>
          <w:iCs/>
        </w:rPr>
        <w:t>Osipov</w:t>
      </w:r>
      <w:r w:rsidR="001618C6" w:rsidRPr="002D48F9">
        <w:rPr>
          <w:rFonts w:ascii="Times New Roman" w:hAnsi="Times New Roman" w:cs="Times New Roman"/>
        </w:rPr>
        <w:t>.</w:t>
      </w:r>
    </w:p>
    <w:p w14:paraId="73E8991A" w14:textId="147CA0BC"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2D48F9">
        <w:rPr>
          <w:rFonts w:ascii="Times New Roman" w:hAnsi="Times New Roman" w:cs="Times New Roman"/>
        </w:rPr>
        <w:t xml:space="preserve">The ET allowed the application to amend in </w:t>
      </w:r>
      <w:r w:rsidR="002F6E14">
        <w:rPr>
          <w:rFonts w:ascii="Times New Roman" w:hAnsi="Times New Roman" w:cs="Times New Roman"/>
        </w:rPr>
        <w:t>respect of the non-dismissal detriments</w:t>
      </w:r>
      <w:r w:rsidRPr="002D48F9">
        <w:rPr>
          <w:rFonts w:ascii="Times New Roman" w:hAnsi="Times New Roman" w:cs="Times New Roman"/>
        </w:rPr>
        <w:t xml:space="preserve"> on the grounds that it was </w:t>
      </w:r>
      <w:r w:rsidR="00E83F3C">
        <w:rPr>
          <w:rFonts w:ascii="Times New Roman" w:hAnsi="Times New Roman" w:cs="Times New Roman"/>
        </w:rPr>
        <w:t>“</w:t>
      </w:r>
      <w:r w:rsidRPr="002D48F9">
        <w:rPr>
          <w:rFonts w:ascii="Times New Roman" w:hAnsi="Times New Roman" w:cs="Times New Roman"/>
        </w:rPr>
        <w:t>a genuine relabelling exercise</w:t>
      </w:r>
      <w:r w:rsidR="00E83F3C">
        <w:rPr>
          <w:rFonts w:ascii="Times New Roman" w:hAnsi="Times New Roman" w:cs="Times New Roman"/>
        </w:rPr>
        <w:t>”</w:t>
      </w:r>
      <w:r w:rsidRPr="002D48F9">
        <w:rPr>
          <w:rFonts w:ascii="Times New Roman" w:hAnsi="Times New Roman" w:cs="Times New Roman"/>
        </w:rPr>
        <w:t xml:space="preserve"> (paragraph 2). It refused the application to amend to add </w:t>
      </w:r>
      <w:r>
        <w:rPr>
          <w:rFonts w:ascii="Times New Roman" w:hAnsi="Times New Roman" w:cs="Times New Roman"/>
        </w:rPr>
        <w:t>Ms Treadwell’s</w:t>
      </w:r>
      <w:r w:rsidRPr="002D48F9">
        <w:rPr>
          <w:rFonts w:ascii="Times New Roman" w:hAnsi="Times New Roman" w:cs="Times New Roman"/>
        </w:rPr>
        <w:t xml:space="preserve"> dismissal to the list of detriments. </w:t>
      </w:r>
    </w:p>
    <w:p w14:paraId="3D466C43" w14:textId="633B4B07"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w:t>
      </w:r>
      <w:r w:rsidRPr="002D48F9">
        <w:rPr>
          <w:rFonts w:ascii="Times New Roman" w:hAnsi="Times New Roman" w:cs="Times New Roman"/>
        </w:rPr>
        <w:t>ET</w:t>
      </w:r>
      <w:r>
        <w:rPr>
          <w:rFonts w:ascii="Times New Roman" w:hAnsi="Times New Roman" w:cs="Times New Roman"/>
        </w:rPr>
        <w:t xml:space="preserve">’s view was that </w:t>
      </w:r>
      <w:r w:rsidR="001F148A">
        <w:rPr>
          <w:rFonts w:ascii="Times New Roman" w:hAnsi="Times New Roman" w:cs="Times New Roman"/>
          <w:i/>
          <w:iCs/>
        </w:rPr>
        <w:t xml:space="preserve">Osipov </w:t>
      </w:r>
      <w:r>
        <w:rPr>
          <w:rFonts w:ascii="Times New Roman" w:hAnsi="Times New Roman" w:cs="Times New Roman"/>
        </w:rPr>
        <w:t xml:space="preserve">was a </w:t>
      </w:r>
      <w:r w:rsidRPr="002D48F9">
        <w:rPr>
          <w:rFonts w:ascii="Times New Roman" w:hAnsi="Times New Roman" w:cs="Times New Roman"/>
        </w:rPr>
        <w:t xml:space="preserve">case </w:t>
      </w:r>
      <w:r>
        <w:rPr>
          <w:rFonts w:ascii="Times New Roman" w:hAnsi="Times New Roman" w:cs="Times New Roman"/>
        </w:rPr>
        <w:t xml:space="preserve">about the </w:t>
      </w:r>
      <w:r w:rsidRPr="002D48F9">
        <w:rPr>
          <w:rFonts w:ascii="Times New Roman" w:hAnsi="Times New Roman" w:cs="Times New Roman"/>
        </w:rPr>
        <w:t xml:space="preserve">potential liability of individuals in addition to the liability of employers for whistleblowing claims. </w:t>
      </w:r>
      <w:r w:rsidR="001F148A">
        <w:rPr>
          <w:rFonts w:ascii="Times New Roman" w:hAnsi="Times New Roman" w:cs="Times New Roman"/>
        </w:rPr>
        <w:t>“</w:t>
      </w:r>
      <w:r w:rsidRPr="002D48F9">
        <w:rPr>
          <w:rFonts w:ascii="Times New Roman" w:hAnsi="Times New Roman" w:cs="Times New Roman"/>
        </w:rPr>
        <w:t>It does not displace the statutory definition</w:t>
      </w:r>
      <w:r w:rsidR="001F148A">
        <w:rPr>
          <w:rFonts w:ascii="Times New Roman" w:hAnsi="Times New Roman" w:cs="Times New Roman"/>
        </w:rPr>
        <w:t>”</w:t>
      </w:r>
      <w:r w:rsidRPr="002D48F9">
        <w:rPr>
          <w:rFonts w:ascii="Times New Roman" w:hAnsi="Times New Roman" w:cs="Times New Roman"/>
        </w:rPr>
        <w:t xml:space="preserve"> (paragraph 3.2</w:t>
      </w:r>
      <w:r>
        <w:rPr>
          <w:rFonts w:ascii="Times New Roman" w:hAnsi="Times New Roman" w:cs="Times New Roman"/>
        </w:rPr>
        <w:t>)</w:t>
      </w:r>
      <w:r w:rsidRPr="002D48F9">
        <w:rPr>
          <w:rFonts w:ascii="Times New Roman" w:hAnsi="Times New Roman" w:cs="Times New Roman"/>
        </w:rPr>
        <w:t xml:space="preserve">. </w:t>
      </w:r>
      <w:r w:rsidR="001F148A">
        <w:rPr>
          <w:rFonts w:ascii="Times New Roman" w:hAnsi="Times New Roman" w:cs="Times New Roman"/>
        </w:rPr>
        <w:t>“</w:t>
      </w:r>
      <w:r w:rsidRPr="002D48F9">
        <w:rPr>
          <w:rFonts w:ascii="Times New Roman" w:hAnsi="Times New Roman" w:cs="Times New Roman"/>
        </w:rPr>
        <w:t>Insofar as it is relied on, the argument that the decision to dismiss (as an act of detriment</w:t>
      </w:r>
      <w:r w:rsidR="001A78D0">
        <w:rPr>
          <w:rFonts w:ascii="Times New Roman" w:hAnsi="Times New Roman" w:cs="Times New Roman"/>
        </w:rPr>
        <w:t>)</w:t>
      </w:r>
      <w:r w:rsidRPr="002D48F9">
        <w:rPr>
          <w:rFonts w:ascii="Times New Roman" w:hAnsi="Times New Roman" w:cs="Times New Roman"/>
        </w:rPr>
        <w:t xml:space="preserve"> can be separated from the act or effects of the dismissal is an argument without substance. The plain wording of the statute is that detriment must constitute something other than dismissal</w:t>
      </w:r>
      <w:r w:rsidR="001F148A">
        <w:rPr>
          <w:rFonts w:ascii="Times New Roman" w:hAnsi="Times New Roman" w:cs="Times New Roman"/>
        </w:rPr>
        <w:t>”</w:t>
      </w:r>
      <w:r w:rsidRPr="002D48F9">
        <w:rPr>
          <w:rFonts w:ascii="Times New Roman" w:hAnsi="Times New Roman" w:cs="Times New Roman"/>
        </w:rPr>
        <w:t xml:space="preserve"> (paragraph 3.3).</w:t>
      </w:r>
    </w:p>
    <w:p w14:paraId="4305FD02" w14:textId="245DC7C0" w:rsidR="006A422D"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027253">
        <w:rPr>
          <w:rFonts w:ascii="Times New Roman" w:hAnsi="Times New Roman" w:cs="Times New Roman"/>
        </w:rPr>
        <w:t>The</w:t>
      </w:r>
      <w:r w:rsidR="004D330D" w:rsidRPr="00027253">
        <w:rPr>
          <w:rFonts w:ascii="Times New Roman" w:hAnsi="Times New Roman" w:cs="Times New Roman"/>
        </w:rPr>
        <w:t xml:space="preserve"> employee appealed </w:t>
      </w:r>
      <w:r w:rsidR="003D0806" w:rsidRPr="00027253">
        <w:rPr>
          <w:rFonts w:ascii="Times New Roman" w:hAnsi="Times New Roman" w:cs="Times New Roman"/>
        </w:rPr>
        <w:t xml:space="preserve">to the EAT </w:t>
      </w:r>
      <w:r w:rsidR="004D330D" w:rsidRPr="00027253">
        <w:rPr>
          <w:rFonts w:ascii="Times New Roman" w:hAnsi="Times New Roman" w:cs="Times New Roman"/>
        </w:rPr>
        <w:t xml:space="preserve">from the refusal of her application to </w:t>
      </w:r>
      <w:r w:rsidR="001756BB" w:rsidRPr="00027253">
        <w:rPr>
          <w:rFonts w:ascii="Times New Roman" w:hAnsi="Times New Roman" w:cs="Times New Roman"/>
        </w:rPr>
        <w:t xml:space="preserve">amend to include </w:t>
      </w:r>
      <w:r w:rsidR="008C747B" w:rsidRPr="00027253">
        <w:rPr>
          <w:rFonts w:ascii="Times New Roman" w:hAnsi="Times New Roman" w:cs="Times New Roman"/>
        </w:rPr>
        <w:t xml:space="preserve">her </w:t>
      </w:r>
      <w:r w:rsidR="001756BB" w:rsidRPr="00027253">
        <w:rPr>
          <w:rFonts w:ascii="Times New Roman" w:hAnsi="Times New Roman" w:cs="Times New Roman"/>
        </w:rPr>
        <w:t>dismissal</w:t>
      </w:r>
      <w:r w:rsidR="008C747B" w:rsidRPr="00027253">
        <w:rPr>
          <w:rFonts w:ascii="Times New Roman" w:hAnsi="Times New Roman" w:cs="Times New Roman"/>
        </w:rPr>
        <w:t xml:space="preserve"> as a detriment</w:t>
      </w:r>
      <w:r w:rsidR="001756BB" w:rsidRPr="00027253">
        <w:rPr>
          <w:rFonts w:ascii="Times New Roman" w:hAnsi="Times New Roman" w:cs="Times New Roman"/>
        </w:rPr>
        <w:t xml:space="preserve">. The </w:t>
      </w:r>
      <w:r w:rsidR="001756BB">
        <w:rPr>
          <w:rFonts w:ascii="Times New Roman" w:hAnsi="Times New Roman" w:cs="Times New Roman"/>
        </w:rPr>
        <w:t>employer cross-appealed f</w:t>
      </w:r>
      <w:r w:rsidR="001C5039">
        <w:rPr>
          <w:rFonts w:ascii="Times New Roman" w:hAnsi="Times New Roman" w:cs="Times New Roman"/>
        </w:rPr>
        <w:t>rom</w:t>
      </w:r>
      <w:r w:rsidR="001756BB">
        <w:rPr>
          <w:rFonts w:ascii="Times New Roman" w:hAnsi="Times New Roman" w:cs="Times New Roman"/>
        </w:rPr>
        <w:t xml:space="preserve"> the </w:t>
      </w:r>
      <w:r w:rsidR="006A422D">
        <w:rPr>
          <w:rFonts w:ascii="Times New Roman" w:hAnsi="Times New Roman" w:cs="Times New Roman"/>
        </w:rPr>
        <w:t>granting of permission to amend to include non-dismissal detriment.</w:t>
      </w:r>
      <w:r>
        <w:rPr>
          <w:rFonts w:ascii="Times New Roman" w:hAnsi="Times New Roman" w:cs="Times New Roman"/>
        </w:rPr>
        <w:t xml:space="preserve"> </w:t>
      </w:r>
    </w:p>
    <w:p w14:paraId="44EDB49B" w14:textId="4B058528" w:rsidR="00AC2210" w:rsidRDefault="006A422D"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w:t>
      </w:r>
      <w:r w:rsidR="00876D67">
        <w:rPr>
          <w:rFonts w:ascii="Times New Roman" w:hAnsi="Times New Roman" w:cs="Times New Roman"/>
        </w:rPr>
        <w:t xml:space="preserve">EAT gave an oral </w:t>
      </w:r>
      <w:r w:rsidR="00876D67" w:rsidRPr="002D48F9">
        <w:rPr>
          <w:rFonts w:ascii="Times New Roman" w:hAnsi="Times New Roman" w:cs="Times New Roman"/>
        </w:rPr>
        <w:t xml:space="preserve">judgment. </w:t>
      </w:r>
      <w:r>
        <w:rPr>
          <w:rFonts w:ascii="Times New Roman" w:hAnsi="Times New Roman" w:cs="Times New Roman"/>
        </w:rPr>
        <w:t>In relation to the employee’s appeal, i</w:t>
      </w:r>
      <w:r w:rsidR="00341693">
        <w:rPr>
          <w:rFonts w:ascii="Times New Roman" w:hAnsi="Times New Roman" w:cs="Times New Roman"/>
        </w:rPr>
        <w:t>t</w:t>
      </w:r>
      <w:r w:rsidR="00876D67">
        <w:rPr>
          <w:rFonts w:ascii="Times New Roman" w:hAnsi="Times New Roman" w:cs="Times New Roman"/>
        </w:rPr>
        <w:t xml:space="preserve"> </w:t>
      </w:r>
      <w:r w:rsidR="00876D67" w:rsidRPr="002D48F9">
        <w:rPr>
          <w:rFonts w:ascii="Times New Roman" w:hAnsi="Times New Roman" w:cs="Times New Roman"/>
        </w:rPr>
        <w:t>relie</w:t>
      </w:r>
      <w:r w:rsidR="00876D67">
        <w:rPr>
          <w:rFonts w:ascii="Times New Roman" w:hAnsi="Times New Roman" w:cs="Times New Roman"/>
        </w:rPr>
        <w:t>d</w:t>
      </w:r>
      <w:r w:rsidR="00876D67" w:rsidRPr="002D48F9">
        <w:rPr>
          <w:rFonts w:ascii="Times New Roman" w:hAnsi="Times New Roman" w:cs="Times New Roman"/>
        </w:rPr>
        <w:t xml:space="preserve"> on paragraph 91(1) of </w:t>
      </w:r>
      <w:r w:rsidR="00876D67" w:rsidRPr="002D48F9">
        <w:rPr>
          <w:rFonts w:ascii="Times New Roman" w:hAnsi="Times New Roman" w:cs="Times New Roman"/>
          <w:i/>
          <w:iCs/>
        </w:rPr>
        <w:t>Osipov</w:t>
      </w:r>
      <w:r w:rsidR="00AC2210">
        <w:rPr>
          <w:rFonts w:ascii="Times New Roman" w:hAnsi="Times New Roman" w:cs="Times New Roman"/>
        </w:rPr>
        <w:t>, which held that:</w:t>
      </w:r>
    </w:p>
    <w:p w14:paraId="05C4DC14" w14:textId="6E368A94" w:rsidR="00876D67" w:rsidRDefault="00341693" w:rsidP="00AC2BC7">
      <w:pPr>
        <w:pStyle w:val="ListParagraph"/>
        <w:spacing w:before="120" w:after="360" w:line="240" w:lineRule="auto"/>
        <w:ind w:left="1134" w:right="1088"/>
        <w:contextualSpacing w:val="0"/>
        <w:jc w:val="both"/>
        <w:rPr>
          <w:rFonts w:ascii="Times New Roman" w:hAnsi="Times New Roman" w:cs="Times New Roman"/>
        </w:rPr>
      </w:pPr>
      <w:r>
        <w:rPr>
          <w:rFonts w:ascii="Times New Roman" w:hAnsi="Times New Roman" w:cs="Times New Roman"/>
        </w:rPr>
        <w:lastRenderedPageBreak/>
        <w:t>“</w:t>
      </w:r>
      <w:r w:rsidR="00876D67" w:rsidRPr="002D48F9">
        <w:rPr>
          <w:rFonts w:ascii="Times New Roman" w:hAnsi="Times New Roman" w:cs="Times New Roman"/>
        </w:rPr>
        <w:t>It is open to an employee to bring a claim under section 47B(1A) against an individual co-worker for subjecting him or her to the detriment of dismissal, that is for being a party to the decision to dismiss and bring a claim of vicarious liability for that act against the employer under section 47B(1B). All that section 47B(2) excludes is a claim against the employer in respect of its own act of dismissal</w:t>
      </w:r>
      <w:r w:rsidR="001B44FE">
        <w:rPr>
          <w:rFonts w:ascii="Times New Roman" w:hAnsi="Times New Roman" w:cs="Times New Roman"/>
        </w:rPr>
        <w:t>”</w:t>
      </w:r>
      <w:r w:rsidR="00876D67" w:rsidRPr="002D48F9">
        <w:rPr>
          <w:rFonts w:ascii="Times New Roman" w:hAnsi="Times New Roman" w:cs="Times New Roman"/>
        </w:rPr>
        <w:t>.</w:t>
      </w:r>
    </w:p>
    <w:p w14:paraId="6C3B93CD" w14:textId="6C06E567" w:rsidR="00876D67" w:rsidRPr="00BF683C"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BF683C">
        <w:rPr>
          <w:rFonts w:ascii="Times New Roman" w:hAnsi="Times New Roman" w:cs="Times New Roman"/>
        </w:rPr>
        <w:t xml:space="preserve">The EAT referred to the EAT’s decision in </w:t>
      </w:r>
      <w:r w:rsidRPr="00BF683C">
        <w:rPr>
          <w:rFonts w:ascii="Times New Roman" w:hAnsi="Times New Roman" w:cs="Times New Roman"/>
          <w:i/>
          <w:iCs/>
        </w:rPr>
        <w:t>Wicked Vision</w:t>
      </w:r>
      <w:r w:rsidR="000A2E5B" w:rsidRPr="00BF683C">
        <w:rPr>
          <w:rFonts w:ascii="Times New Roman" w:hAnsi="Times New Roman" w:cs="Times New Roman"/>
        </w:rPr>
        <w:t xml:space="preserve">, which had </w:t>
      </w:r>
      <w:r w:rsidR="006230A5" w:rsidRPr="00BF683C">
        <w:rPr>
          <w:rFonts w:ascii="Times New Roman" w:hAnsi="Times New Roman" w:cs="Times New Roman"/>
        </w:rPr>
        <w:t>“</w:t>
      </w:r>
      <w:r w:rsidRPr="00BF683C">
        <w:rPr>
          <w:rFonts w:ascii="Times New Roman" w:hAnsi="Times New Roman" w:cs="Times New Roman"/>
        </w:rPr>
        <w:t xml:space="preserve">sought to distinguish </w:t>
      </w:r>
      <w:r w:rsidRPr="00BF683C">
        <w:rPr>
          <w:rFonts w:ascii="Times New Roman" w:hAnsi="Times New Roman" w:cs="Times New Roman"/>
          <w:i/>
          <w:iCs/>
        </w:rPr>
        <w:t>Osipov</w:t>
      </w:r>
      <w:r w:rsidR="006230A5" w:rsidRPr="00BF683C">
        <w:rPr>
          <w:rFonts w:ascii="Times New Roman" w:hAnsi="Times New Roman" w:cs="Times New Roman"/>
        </w:rPr>
        <w:t>”</w:t>
      </w:r>
      <w:r w:rsidRPr="00BF683C">
        <w:rPr>
          <w:rFonts w:ascii="Times New Roman" w:hAnsi="Times New Roman" w:cs="Times New Roman"/>
        </w:rPr>
        <w:t xml:space="preserve">. </w:t>
      </w:r>
      <w:r w:rsidR="000A2E5B" w:rsidRPr="00BF683C">
        <w:rPr>
          <w:rFonts w:ascii="Times New Roman" w:hAnsi="Times New Roman" w:cs="Times New Roman"/>
        </w:rPr>
        <w:t>It</w:t>
      </w:r>
      <w:r w:rsidRPr="00BF683C">
        <w:rPr>
          <w:rFonts w:ascii="Times New Roman" w:hAnsi="Times New Roman" w:cs="Times New Roman"/>
        </w:rPr>
        <w:t xml:space="preserve"> held that it was bound by </w:t>
      </w:r>
      <w:proofErr w:type="gramStart"/>
      <w:r w:rsidRPr="00BF683C">
        <w:rPr>
          <w:rFonts w:ascii="Times New Roman" w:hAnsi="Times New Roman" w:cs="Times New Roman"/>
          <w:i/>
          <w:iCs/>
        </w:rPr>
        <w:t>Osipov</w:t>
      </w:r>
      <w:proofErr w:type="gramEnd"/>
      <w:r w:rsidR="000D5F73" w:rsidRPr="00BF683C">
        <w:rPr>
          <w:rFonts w:ascii="Times New Roman" w:hAnsi="Times New Roman" w:cs="Times New Roman"/>
          <w:i/>
          <w:iCs/>
        </w:rPr>
        <w:t xml:space="preserve"> </w:t>
      </w:r>
      <w:r w:rsidR="000D5F73" w:rsidRPr="00BF683C">
        <w:rPr>
          <w:rFonts w:ascii="Times New Roman" w:hAnsi="Times New Roman" w:cs="Times New Roman"/>
        </w:rPr>
        <w:t>and it</w:t>
      </w:r>
      <w:r w:rsidRPr="00BF683C">
        <w:rPr>
          <w:rFonts w:ascii="Times New Roman" w:hAnsi="Times New Roman" w:cs="Times New Roman"/>
        </w:rPr>
        <w:t xml:space="preserve"> declined to follow the decision in </w:t>
      </w:r>
      <w:r w:rsidRPr="00BF683C">
        <w:rPr>
          <w:rFonts w:ascii="Times New Roman" w:hAnsi="Times New Roman" w:cs="Times New Roman"/>
          <w:i/>
          <w:iCs/>
        </w:rPr>
        <w:t>Wicked Vision</w:t>
      </w:r>
      <w:r w:rsidRPr="00BF683C">
        <w:rPr>
          <w:rFonts w:ascii="Times New Roman" w:hAnsi="Times New Roman" w:cs="Times New Roman"/>
        </w:rPr>
        <w:t xml:space="preserve">. </w:t>
      </w:r>
      <w:r w:rsidR="00BF683C">
        <w:rPr>
          <w:rFonts w:ascii="Times New Roman" w:hAnsi="Times New Roman" w:cs="Times New Roman"/>
        </w:rPr>
        <w:t xml:space="preserve">It </w:t>
      </w:r>
      <w:r w:rsidRPr="00BF683C">
        <w:rPr>
          <w:rFonts w:ascii="Times New Roman" w:hAnsi="Times New Roman" w:cs="Times New Roman"/>
        </w:rPr>
        <w:t xml:space="preserve">dismissed the employer’s </w:t>
      </w:r>
      <w:r w:rsidR="00BF683C">
        <w:rPr>
          <w:rFonts w:ascii="Times New Roman" w:hAnsi="Times New Roman" w:cs="Times New Roman"/>
        </w:rPr>
        <w:t>cross-</w:t>
      </w:r>
      <w:r w:rsidRPr="00BF683C">
        <w:rPr>
          <w:rFonts w:ascii="Times New Roman" w:hAnsi="Times New Roman" w:cs="Times New Roman"/>
        </w:rPr>
        <w:t>appeal against the ET’s decision that the amendments were no more than a re-labelling exercise</w:t>
      </w:r>
      <w:r w:rsidR="006D41A9" w:rsidRPr="00BF683C">
        <w:rPr>
          <w:rFonts w:ascii="Times New Roman" w:hAnsi="Times New Roman" w:cs="Times New Roman"/>
        </w:rPr>
        <w:t xml:space="preserve"> and should be allowed</w:t>
      </w:r>
      <w:r w:rsidRPr="00BF683C">
        <w:rPr>
          <w:rFonts w:ascii="Times New Roman" w:hAnsi="Times New Roman" w:cs="Times New Roman"/>
        </w:rPr>
        <w:t>.</w:t>
      </w:r>
    </w:p>
    <w:p w14:paraId="44A20394" w14:textId="234B2DAD" w:rsidR="00876D67" w:rsidRPr="004A4900" w:rsidRDefault="003D0806" w:rsidP="00AC2BC7">
      <w:pPr>
        <w:spacing w:before="120" w:after="360"/>
        <w:jc w:val="both"/>
        <w:rPr>
          <w:b/>
          <w:bCs/>
          <w:u w:val="single"/>
        </w:rPr>
      </w:pPr>
      <w:r w:rsidRPr="004A4900">
        <w:rPr>
          <w:b/>
          <w:bCs/>
          <w:u w:val="single"/>
        </w:rPr>
        <w:t xml:space="preserve">3. </w:t>
      </w:r>
      <w:r w:rsidR="00876D67" w:rsidRPr="004A4900">
        <w:rPr>
          <w:b/>
          <w:bCs/>
          <w:u w:val="single"/>
        </w:rPr>
        <w:t>The Employment Rights Act 1996</w:t>
      </w:r>
    </w:p>
    <w:p w14:paraId="16701205" w14:textId="54252249"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1996 Act is the main source of statutory rights for individual employees. Some of its provisions go back as far as the Redundancy Payments Act 1965. It repealed and replaced the first statute which codified such rights, the Employment Protection (Consolidation) Act 1978 (‘the 1978 Act’). All the rights in the 1978 Act were conferred on an employee, defined in section 153(1) (unless the context required otherwise) as </w:t>
      </w:r>
      <w:r w:rsidR="00A84137">
        <w:rPr>
          <w:rFonts w:ascii="Times New Roman" w:hAnsi="Times New Roman" w:cs="Times New Roman"/>
        </w:rPr>
        <w:t>“</w:t>
      </w:r>
      <w:r>
        <w:rPr>
          <w:rFonts w:ascii="Times New Roman" w:hAnsi="Times New Roman" w:cs="Times New Roman"/>
        </w:rPr>
        <w:t>an individual who works under …a contract of employment</w:t>
      </w:r>
      <w:r w:rsidR="00A84137">
        <w:rPr>
          <w:rFonts w:ascii="Times New Roman" w:hAnsi="Times New Roman" w:cs="Times New Roman"/>
        </w:rPr>
        <w:t>”</w:t>
      </w:r>
      <w:r>
        <w:rPr>
          <w:rFonts w:ascii="Times New Roman" w:hAnsi="Times New Roman" w:cs="Times New Roman"/>
        </w:rPr>
        <w:t>.</w:t>
      </w:r>
    </w:p>
    <w:p w14:paraId="647007B5" w14:textId="5CED3AA6"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1996 Act was originally divided into </w:t>
      </w:r>
      <w:r w:rsidR="00ED533D">
        <w:rPr>
          <w:rFonts w:ascii="Times New Roman" w:hAnsi="Times New Roman" w:cs="Times New Roman"/>
        </w:rPr>
        <w:t xml:space="preserve">fifteen </w:t>
      </w:r>
      <w:r>
        <w:rPr>
          <w:rFonts w:ascii="Times New Roman" w:hAnsi="Times New Roman" w:cs="Times New Roman"/>
        </w:rPr>
        <w:t>Parts. T</w:t>
      </w:r>
      <w:r w:rsidR="00ED533D">
        <w:rPr>
          <w:rFonts w:ascii="Times New Roman" w:hAnsi="Times New Roman" w:cs="Times New Roman"/>
        </w:rPr>
        <w:t>welve</w:t>
      </w:r>
      <w:r>
        <w:rPr>
          <w:rFonts w:ascii="Times New Roman" w:hAnsi="Times New Roman" w:cs="Times New Roman"/>
        </w:rPr>
        <w:t xml:space="preserve"> substantive Parts dealt with employment particulars</w:t>
      </w:r>
      <w:r w:rsidR="0034236F">
        <w:rPr>
          <w:rFonts w:ascii="Times New Roman" w:hAnsi="Times New Roman" w:cs="Times New Roman"/>
        </w:rPr>
        <w:t xml:space="preserve"> (Part </w:t>
      </w:r>
      <w:r w:rsidR="00A97B62">
        <w:rPr>
          <w:rFonts w:ascii="Times New Roman" w:hAnsi="Times New Roman" w:cs="Times New Roman"/>
        </w:rPr>
        <w:t>I</w:t>
      </w:r>
      <w:r w:rsidR="0034236F">
        <w:rPr>
          <w:rFonts w:ascii="Times New Roman" w:hAnsi="Times New Roman" w:cs="Times New Roman"/>
        </w:rPr>
        <w:t>)</w:t>
      </w:r>
      <w:r>
        <w:rPr>
          <w:rFonts w:ascii="Times New Roman" w:hAnsi="Times New Roman" w:cs="Times New Roman"/>
        </w:rPr>
        <w:t>, protection of wages</w:t>
      </w:r>
      <w:r w:rsidR="00A97B62">
        <w:rPr>
          <w:rFonts w:ascii="Times New Roman" w:hAnsi="Times New Roman" w:cs="Times New Roman"/>
        </w:rPr>
        <w:t xml:space="preserve"> (Part II)</w:t>
      </w:r>
      <w:r>
        <w:rPr>
          <w:rFonts w:ascii="Times New Roman" w:hAnsi="Times New Roman" w:cs="Times New Roman"/>
        </w:rPr>
        <w:t>, guarantee payments</w:t>
      </w:r>
      <w:r w:rsidR="00EE737A">
        <w:rPr>
          <w:rFonts w:ascii="Times New Roman" w:hAnsi="Times New Roman" w:cs="Times New Roman"/>
        </w:rPr>
        <w:t xml:space="preserve"> (Part III)</w:t>
      </w:r>
      <w:r>
        <w:rPr>
          <w:rFonts w:ascii="Times New Roman" w:hAnsi="Times New Roman" w:cs="Times New Roman"/>
        </w:rPr>
        <w:t>, Sunday working for shop and betting workers</w:t>
      </w:r>
      <w:r w:rsidR="00EE737A">
        <w:rPr>
          <w:rFonts w:ascii="Times New Roman" w:hAnsi="Times New Roman" w:cs="Times New Roman"/>
        </w:rPr>
        <w:t xml:space="preserve"> (Part IV)</w:t>
      </w:r>
      <w:r>
        <w:rPr>
          <w:rFonts w:ascii="Times New Roman" w:hAnsi="Times New Roman" w:cs="Times New Roman"/>
        </w:rPr>
        <w:t>, protection from suffering detriment in employment (Part V), time off work</w:t>
      </w:r>
      <w:r w:rsidR="00FE029B">
        <w:rPr>
          <w:rFonts w:ascii="Times New Roman" w:hAnsi="Times New Roman" w:cs="Times New Roman"/>
        </w:rPr>
        <w:t xml:space="preserve"> (Part VI)</w:t>
      </w:r>
      <w:r>
        <w:rPr>
          <w:rFonts w:ascii="Times New Roman" w:hAnsi="Times New Roman" w:cs="Times New Roman"/>
        </w:rPr>
        <w:t>, suspension from work</w:t>
      </w:r>
      <w:r w:rsidR="00FE029B">
        <w:rPr>
          <w:rFonts w:ascii="Times New Roman" w:hAnsi="Times New Roman" w:cs="Times New Roman"/>
        </w:rPr>
        <w:t xml:space="preserve"> (Part VII)</w:t>
      </w:r>
      <w:r>
        <w:rPr>
          <w:rFonts w:ascii="Times New Roman" w:hAnsi="Times New Roman" w:cs="Times New Roman"/>
        </w:rPr>
        <w:t>, maternity leave</w:t>
      </w:r>
      <w:r w:rsidR="00FE029B">
        <w:rPr>
          <w:rFonts w:ascii="Times New Roman" w:hAnsi="Times New Roman" w:cs="Times New Roman"/>
        </w:rPr>
        <w:t xml:space="preserve"> (Part VIII)</w:t>
      </w:r>
      <w:r>
        <w:rPr>
          <w:rFonts w:ascii="Times New Roman" w:hAnsi="Times New Roman" w:cs="Times New Roman"/>
        </w:rPr>
        <w:t>, termination of employment (Part IX), unfair dismissal (Part X), redundancy payments</w:t>
      </w:r>
      <w:r w:rsidR="00406640">
        <w:rPr>
          <w:rFonts w:ascii="Times New Roman" w:hAnsi="Times New Roman" w:cs="Times New Roman"/>
        </w:rPr>
        <w:t xml:space="preserve"> (Part XI)</w:t>
      </w:r>
      <w:r>
        <w:rPr>
          <w:rFonts w:ascii="Times New Roman" w:hAnsi="Times New Roman" w:cs="Times New Roman"/>
        </w:rPr>
        <w:t xml:space="preserve">, and insolvency of employers (Part XII). </w:t>
      </w:r>
    </w:p>
    <w:p w14:paraId="38E485F1" w14:textId="2808639F"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right not </w:t>
      </w:r>
      <w:r w:rsidR="00FC21B7">
        <w:rPr>
          <w:rFonts w:ascii="Times New Roman" w:hAnsi="Times New Roman" w:cs="Times New Roman"/>
        </w:rPr>
        <w:t xml:space="preserve">to </w:t>
      </w:r>
      <w:r>
        <w:rPr>
          <w:rFonts w:ascii="Times New Roman" w:hAnsi="Times New Roman" w:cs="Times New Roman"/>
        </w:rPr>
        <w:t xml:space="preserve">be unfairly dismissed is conferred by section 94, which is in Part X. ‘Dismissal’ is defined in section 95, </w:t>
      </w:r>
      <w:r w:rsidR="00A84137">
        <w:rPr>
          <w:rFonts w:ascii="Times New Roman" w:hAnsi="Times New Roman" w:cs="Times New Roman"/>
        </w:rPr>
        <w:t xml:space="preserve">which is </w:t>
      </w:r>
      <w:r w:rsidR="00DD6046">
        <w:rPr>
          <w:rFonts w:ascii="Times New Roman" w:hAnsi="Times New Roman" w:cs="Times New Roman"/>
        </w:rPr>
        <w:t xml:space="preserve">in the same </w:t>
      </w:r>
      <w:r w:rsidR="00556369">
        <w:rPr>
          <w:rFonts w:ascii="Times New Roman" w:hAnsi="Times New Roman" w:cs="Times New Roman"/>
        </w:rPr>
        <w:t>P</w:t>
      </w:r>
      <w:r w:rsidR="00DD6046">
        <w:rPr>
          <w:rFonts w:ascii="Times New Roman" w:hAnsi="Times New Roman" w:cs="Times New Roman"/>
        </w:rPr>
        <w:t>art</w:t>
      </w:r>
      <w:r>
        <w:rPr>
          <w:rFonts w:ascii="Times New Roman" w:hAnsi="Times New Roman" w:cs="Times New Roman"/>
        </w:rPr>
        <w:t xml:space="preserve">. Section 95 is headed </w:t>
      </w:r>
      <w:r w:rsidR="00D555B4">
        <w:rPr>
          <w:rFonts w:ascii="Times New Roman" w:hAnsi="Times New Roman" w:cs="Times New Roman"/>
        </w:rPr>
        <w:t>‘</w:t>
      </w:r>
      <w:r>
        <w:rPr>
          <w:rFonts w:ascii="Times New Roman" w:hAnsi="Times New Roman" w:cs="Times New Roman"/>
        </w:rPr>
        <w:t>Circumstances in which an employee is dismissed</w:t>
      </w:r>
      <w:r w:rsidR="00D555B4">
        <w:rPr>
          <w:rFonts w:ascii="Times New Roman" w:hAnsi="Times New Roman" w:cs="Times New Roman"/>
        </w:rPr>
        <w:t>’</w:t>
      </w:r>
      <w:r>
        <w:rPr>
          <w:rFonts w:ascii="Times New Roman" w:hAnsi="Times New Roman" w:cs="Times New Roman"/>
        </w:rPr>
        <w:t xml:space="preserve">. The definition is </w:t>
      </w:r>
      <w:proofErr w:type="gramStart"/>
      <w:r>
        <w:rPr>
          <w:rFonts w:ascii="Times New Roman" w:hAnsi="Times New Roman" w:cs="Times New Roman"/>
        </w:rPr>
        <w:t>wide, and</w:t>
      </w:r>
      <w:proofErr w:type="gramEnd"/>
      <w:r>
        <w:rPr>
          <w:rFonts w:ascii="Times New Roman" w:hAnsi="Times New Roman" w:cs="Times New Roman"/>
        </w:rPr>
        <w:t xml:space="preserve"> includes the termination of the contract of employment by the employer, with or without notice, and ‘constructive dismissal’, as it has come to be known, when an employee accepts a repudiatory breach of the contract of employment by the employer. Provisions which have been in Part X since its enactment have </w:t>
      </w:r>
      <w:r w:rsidRPr="003F4A4A">
        <w:rPr>
          <w:rFonts w:ascii="Times New Roman" w:hAnsi="Times New Roman" w:cs="Times New Roman"/>
        </w:rPr>
        <w:t>enable</w:t>
      </w:r>
      <w:r>
        <w:rPr>
          <w:rFonts w:ascii="Times New Roman" w:hAnsi="Times New Roman" w:cs="Times New Roman"/>
        </w:rPr>
        <w:t>d</w:t>
      </w:r>
      <w:r w:rsidRPr="003F4A4A">
        <w:rPr>
          <w:rFonts w:ascii="Times New Roman" w:hAnsi="Times New Roman" w:cs="Times New Roman"/>
        </w:rPr>
        <w:t xml:space="preserve"> employees dismissed on grounds listed in Part V to claim</w:t>
      </w:r>
      <w:r>
        <w:rPr>
          <w:rFonts w:ascii="Times New Roman" w:hAnsi="Times New Roman" w:cs="Times New Roman"/>
        </w:rPr>
        <w:t>, under Part X,</w:t>
      </w:r>
      <w:r w:rsidRPr="003F4A4A">
        <w:rPr>
          <w:rFonts w:ascii="Times New Roman" w:hAnsi="Times New Roman" w:cs="Times New Roman"/>
        </w:rPr>
        <w:t xml:space="preserve"> that their dismissal was automatically unfair</w:t>
      </w:r>
      <w:r>
        <w:rPr>
          <w:rFonts w:ascii="Times New Roman" w:hAnsi="Times New Roman" w:cs="Times New Roman"/>
        </w:rPr>
        <w:t xml:space="preserve">. Those provisions are now in </w:t>
      </w:r>
      <w:r w:rsidRPr="003F4A4A">
        <w:rPr>
          <w:rFonts w:ascii="Times New Roman" w:hAnsi="Times New Roman" w:cs="Times New Roman"/>
        </w:rPr>
        <w:t xml:space="preserve">sections 98B-104G. There is no qualifying period </w:t>
      </w:r>
      <w:r>
        <w:rPr>
          <w:rFonts w:ascii="Times New Roman" w:hAnsi="Times New Roman" w:cs="Times New Roman"/>
        </w:rPr>
        <w:t xml:space="preserve">for such a claim </w:t>
      </w:r>
      <w:r w:rsidRPr="003F4A4A">
        <w:rPr>
          <w:rFonts w:ascii="Times New Roman" w:hAnsi="Times New Roman" w:cs="Times New Roman"/>
        </w:rPr>
        <w:t>(unlike the right not to be unfairly dismissed, conferred by section 94). The compensation which is available in the case of such a dismissal is not subject to a cap (section 124(1A))</w:t>
      </w:r>
      <w:r>
        <w:rPr>
          <w:rFonts w:ascii="Times New Roman" w:hAnsi="Times New Roman" w:cs="Times New Roman"/>
        </w:rPr>
        <w:t>.</w:t>
      </w:r>
    </w:p>
    <w:p w14:paraId="31F34A90" w14:textId="58593B18" w:rsidR="00876D67" w:rsidRPr="00333BD8"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i/>
          <w:iCs/>
        </w:rPr>
      </w:pPr>
      <w:r w:rsidRPr="0069712B">
        <w:rPr>
          <w:rFonts w:ascii="Times New Roman" w:hAnsi="Times New Roman" w:cs="Times New Roman"/>
        </w:rPr>
        <w:t>Two Parts have been added to the 1996 Act since its enactment: Part IVA, ‘Protected Disclosures’, and Part VIIIA,</w:t>
      </w:r>
      <w:r w:rsidR="007D5DB1">
        <w:rPr>
          <w:rFonts w:ascii="Times New Roman" w:hAnsi="Times New Roman" w:cs="Times New Roman"/>
        </w:rPr>
        <w:t xml:space="preserve"> </w:t>
      </w:r>
      <w:r w:rsidRPr="0069712B">
        <w:rPr>
          <w:rFonts w:ascii="Times New Roman" w:hAnsi="Times New Roman" w:cs="Times New Roman"/>
        </w:rPr>
        <w:t xml:space="preserve">‘Flexible Working’. Part IVA was added by the Public Interest Disclosure Act 1998 (‘the 1998 Act’). Many other Chapters and provisions have also been added by amendment since the enactment of the 1996 Act. </w:t>
      </w:r>
      <w:r>
        <w:rPr>
          <w:rFonts w:ascii="Times New Roman" w:hAnsi="Times New Roman" w:cs="Times New Roman"/>
        </w:rPr>
        <w:t>Section 103A</w:t>
      </w:r>
      <w:r w:rsidR="008B573E">
        <w:rPr>
          <w:rFonts w:ascii="Times New Roman" w:hAnsi="Times New Roman" w:cs="Times New Roman"/>
        </w:rPr>
        <w:t>,</w:t>
      </w:r>
      <w:r>
        <w:rPr>
          <w:rFonts w:ascii="Times New Roman" w:hAnsi="Times New Roman" w:cs="Times New Roman"/>
        </w:rPr>
        <w:t xml:space="preserve"> inserted in Part X by the 1998 Act</w:t>
      </w:r>
      <w:r w:rsidR="008B573E">
        <w:rPr>
          <w:rFonts w:ascii="Times New Roman" w:hAnsi="Times New Roman" w:cs="Times New Roman"/>
        </w:rPr>
        <w:t xml:space="preserve">, </w:t>
      </w:r>
      <w:r>
        <w:rPr>
          <w:rFonts w:ascii="Times New Roman" w:hAnsi="Times New Roman" w:cs="Times New Roman"/>
        </w:rPr>
        <w:t xml:space="preserve">enables an employee who has been dismissed on the </w:t>
      </w:r>
      <w:r>
        <w:rPr>
          <w:rFonts w:ascii="Times New Roman" w:hAnsi="Times New Roman" w:cs="Times New Roman"/>
        </w:rPr>
        <w:lastRenderedPageBreak/>
        <w:t>ground that he made a protected disclosure to claim, under Part X, that his dismissal was automatically unfair.</w:t>
      </w:r>
    </w:p>
    <w:p w14:paraId="5D80523F" w14:textId="77777777" w:rsidR="00876D67" w:rsidRPr="00CF0459" w:rsidRDefault="00876D67" w:rsidP="00AC2BC7">
      <w:pPr>
        <w:spacing w:before="120" w:after="360"/>
        <w:jc w:val="both"/>
        <w:rPr>
          <w:i/>
          <w:iCs/>
        </w:rPr>
      </w:pPr>
      <w:r w:rsidRPr="00CF0459">
        <w:rPr>
          <w:i/>
          <w:iCs/>
        </w:rPr>
        <w:t>Employees and workers</w:t>
      </w:r>
    </w:p>
    <w:p w14:paraId="1EE03639" w14:textId="453FC230"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07221D">
        <w:rPr>
          <w:rFonts w:ascii="Times New Roman" w:hAnsi="Times New Roman" w:cs="Times New Roman"/>
        </w:rPr>
        <w:t xml:space="preserve">Some, but not all, of the rights in the 1996 Act are conferred on workers as well as employees. Both concepts are defined in section 230. </w:t>
      </w:r>
      <w:r w:rsidRPr="003D535C">
        <w:rPr>
          <w:rFonts w:ascii="Times New Roman" w:hAnsi="Times New Roman" w:cs="Times New Roman"/>
        </w:rPr>
        <w:t xml:space="preserve">An employee works under a contract of employment. The term ‘worker’ is wider. It </w:t>
      </w:r>
      <w:r w:rsidR="006D1155" w:rsidRPr="003D535C">
        <w:rPr>
          <w:rFonts w:ascii="Times New Roman" w:hAnsi="Times New Roman" w:cs="Times New Roman"/>
        </w:rPr>
        <w:t>includes</w:t>
      </w:r>
      <w:r w:rsidRPr="003D535C">
        <w:rPr>
          <w:rFonts w:ascii="Times New Roman" w:hAnsi="Times New Roman" w:cs="Times New Roman"/>
        </w:rPr>
        <w:t xml:space="preserve"> an employee and a person who agrees, under any </w:t>
      </w:r>
      <w:r>
        <w:rPr>
          <w:rFonts w:ascii="Times New Roman" w:hAnsi="Times New Roman" w:cs="Times New Roman"/>
        </w:rPr>
        <w:t xml:space="preserve">other </w:t>
      </w:r>
      <w:r w:rsidRPr="003D535C">
        <w:rPr>
          <w:rFonts w:ascii="Times New Roman" w:hAnsi="Times New Roman" w:cs="Times New Roman"/>
        </w:rPr>
        <w:t xml:space="preserve">contract, </w:t>
      </w:r>
      <w:r w:rsidR="00270CDE">
        <w:rPr>
          <w:rFonts w:ascii="Times New Roman" w:hAnsi="Times New Roman" w:cs="Times New Roman"/>
        </w:rPr>
        <w:t>“</w:t>
      </w:r>
      <w:r w:rsidRPr="003D535C">
        <w:rPr>
          <w:rFonts w:ascii="Times New Roman" w:hAnsi="Times New Roman" w:cs="Times New Roman"/>
        </w:rPr>
        <w:t xml:space="preserve">to do or perform personally any </w:t>
      </w:r>
      <w:r>
        <w:rPr>
          <w:rFonts w:ascii="Times New Roman" w:hAnsi="Times New Roman" w:cs="Times New Roman"/>
        </w:rPr>
        <w:t xml:space="preserve">work or services </w:t>
      </w:r>
      <w:r w:rsidRPr="003D535C">
        <w:rPr>
          <w:rFonts w:ascii="Times New Roman" w:hAnsi="Times New Roman" w:cs="Times New Roman"/>
        </w:rPr>
        <w:t>for another party to the contract whose status is not by virtue of the contract that of a client or customer of any profession or business undertaking carried on by the individual</w:t>
      </w:r>
      <w:r w:rsidR="00572B5F">
        <w:rPr>
          <w:rFonts w:ascii="Times New Roman" w:hAnsi="Times New Roman" w:cs="Times New Roman"/>
        </w:rPr>
        <w:t>”</w:t>
      </w:r>
      <w:r w:rsidRPr="003D535C">
        <w:rPr>
          <w:rFonts w:ascii="Times New Roman" w:hAnsi="Times New Roman" w:cs="Times New Roman"/>
        </w:rPr>
        <w:t xml:space="preserve"> (section 230(3)). Section 230(6) </w:t>
      </w:r>
      <w:r w:rsidR="00F77685">
        <w:rPr>
          <w:rFonts w:ascii="Times New Roman" w:hAnsi="Times New Roman" w:cs="Times New Roman"/>
        </w:rPr>
        <w:t xml:space="preserve">was inserted by section 15 of the 1998 Act. It </w:t>
      </w:r>
      <w:r w:rsidRPr="003D535C">
        <w:rPr>
          <w:rFonts w:ascii="Times New Roman" w:hAnsi="Times New Roman" w:cs="Times New Roman"/>
        </w:rPr>
        <w:t xml:space="preserve">provides that </w:t>
      </w:r>
      <w:r w:rsidR="00572B5F">
        <w:rPr>
          <w:rFonts w:ascii="Times New Roman" w:hAnsi="Times New Roman" w:cs="Times New Roman"/>
        </w:rPr>
        <w:t>“</w:t>
      </w:r>
      <w:r w:rsidRPr="003D535C">
        <w:rPr>
          <w:rFonts w:ascii="Times New Roman" w:hAnsi="Times New Roman" w:cs="Times New Roman"/>
        </w:rPr>
        <w:t>This section has effect subject to 43K and 47B(3)</w:t>
      </w:r>
      <w:r w:rsidR="00AD0C52">
        <w:rPr>
          <w:rFonts w:ascii="Times New Roman" w:hAnsi="Times New Roman" w:cs="Times New Roman"/>
        </w:rPr>
        <w:t xml:space="preserve"> and 49B(10)</w:t>
      </w:r>
      <w:r w:rsidR="00CD11EE">
        <w:rPr>
          <w:rFonts w:ascii="Times New Roman" w:hAnsi="Times New Roman" w:cs="Times New Roman"/>
        </w:rPr>
        <w:t>;</w:t>
      </w:r>
      <w:r w:rsidRPr="003D535C">
        <w:rPr>
          <w:rFonts w:ascii="Times New Roman" w:hAnsi="Times New Roman" w:cs="Times New Roman"/>
        </w:rPr>
        <w:t xml:space="preserve"> and for the purposes of Part XIII so far as relating to Part IVA or section 47B, “worker”, “worker’s contract</w:t>
      </w:r>
      <w:r w:rsidR="000717C9">
        <w:rPr>
          <w:rFonts w:ascii="Times New Roman" w:hAnsi="Times New Roman" w:cs="Times New Roman"/>
        </w:rPr>
        <w:t>”</w:t>
      </w:r>
      <w:r w:rsidRPr="003D535C">
        <w:rPr>
          <w:rFonts w:ascii="Times New Roman" w:hAnsi="Times New Roman" w:cs="Times New Roman"/>
        </w:rPr>
        <w:t>, and in relation to a worker, “employer”, “employment” and “employed” have the extended meaning given by section 43K</w:t>
      </w:r>
      <w:r w:rsidR="00CD11EE">
        <w:rPr>
          <w:rFonts w:ascii="Times New Roman" w:hAnsi="Times New Roman" w:cs="Times New Roman"/>
        </w:rPr>
        <w:t>”</w:t>
      </w:r>
      <w:r w:rsidRPr="003D535C">
        <w:rPr>
          <w:rFonts w:ascii="Times New Roman" w:hAnsi="Times New Roman" w:cs="Times New Roman"/>
        </w:rPr>
        <w:t xml:space="preserve">. Section </w:t>
      </w:r>
      <w:r w:rsidR="00DF2BE6" w:rsidRPr="003D535C">
        <w:rPr>
          <w:rFonts w:ascii="Times New Roman" w:hAnsi="Times New Roman" w:cs="Times New Roman"/>
        </w:rPr>
        <w:t>43</w:t>
      </w:r>
      <w:r w:rsidR="00DF2BE6">
        <w:rPr>
          <w:rFonts w:ascii="Times New Roman" w:hAnsi="Times New Roman" w:cs="Times New Roman"/>
        </w:rPr>
        <w:t>K</w:t>
      </w:r>
      <w:r w:rsidR="00DF2BE6" w:rsidRPr="003D535C">
        <w:rPr>
          <w:rFonts w:ascii="Times New Roman" w:hAnsi="Times New Roman" w:cs="Times New Roman"/>
        </w:rPr>
        <w:t xml:space="preserve"> </w:t>
      </w:r>
      <w:r w:rsidRPr="003D535C">
        <w:rPr>
          <w:rFonts w:ascii="Times New Roman" w:hAnsi="Times New Roman" w:cs="Times New Roman"/>
        </w:rPr>
        <w:t>gives the word ‘worker’ an extended meaning for the purposes of Part IVA of the 1996 Act. The word includes an individual who is not a worker but falls into one of the six categories listed in section 43K.</w:t>
      </w:r>
      <w:r>
        <w:rPr>
          <w:rFonts w:ascii="Times New Roman" w:hAnsi="Times New Roman" w:cs="Times New Roman"/>
        </w:rPr>
        <w:t xml:space="preserve"> </w:t>
      </w:r>
    </w:p>
    <w:p w14:paraId="1A8CDB70" w14:textId="77777777" w:rsidR="00876D67" w:rsidRPr="00EC099C" w:rsidRDefault="00876D67" w:rsidP="00AC2BC7">
      <w:pPr>
        <w:spacing w:before="120" w:after="360"/>
        <w:jc w:val="both"/>
        <w:rPr>
          <w:i/>
          <w:iCs/>
        </w:rPr>
      </w:pPr>
      <w:r>
        <w:rPr>
          <w:i/>
          <w:iCs/>
        </w:rPr>
        <w:t>Part IVA</w:t>
      </w:r>
    </w:p>
    <w:p w14:paraId="28CB0A0B" w14:textId="4AC109F4"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Part IVA was inserted in the 1996 Act by section 1 of the 1998 Act</w:t>
      </w:r>
      <w:r w:rsidR="00FE1215">
        <w:rPr>
          <w:rFonts w:ascii="Times New Roman" w:hAnsi="Times New Roman" w:cs="Times New Roman"/>
        </w:rPr>
        <w:t xml:space="preserve"> and </w:t>
      </w:r>
      <w:r>
        <w:rPr>
          <w:rFonts w:ascii="Times New Roman" w:hAnsi="Times New Roman" w:cs="Times New Roman"/>
        </w:rPr>
        <w:t xml:space="preserve">has been amended since then. Section 43A defines </w:t>
      </w:r>
      <w:r w:rsidR="00B30224">
        <w:rPr>
          <w:rFonts w:ascii="Times New Roman" w:hAnsi="Times New Roman" w:cs="Times New Roman"/>
        </w:rPr>
        <w:t xml:space="preserve">a </w:t>
      </w:r>
      <w:r>
        <w:rPr>
          <w:rFonts w:ascii="Times New Roman" w:hAnsi="Times New Roman" w:cs="Times New Roman"/>
        </w:rPr>
        <w:t xml:space="preserve">‘protected disclosure’ as </w:t>
      </w:r>
      <w:r w:rsidR="00277D14">
        <w:rPr>
          <w:rFonts w:ascii="Times New Roman" w:hAnsi="Times New Roman" w:cs="Times New Roman"/>
        </w:rPr>
        <w:t>“</w:t>
      </w:r>
      <w:r>
        <w:rPr>
          <w:rFonts w:ascii="Times New Roman" w:hAnsi="Times New Roman" w:cs="Times New Roman"/>
        </w:rPr>
        <w:t>a qualifying disclosure (as defined by section 43B) which is made by a worker in accordance with any of sections 43C to 43H</w:t>
      </w:r>
      <w:r w:rsidR="00277D14">
        <w:rPr>
          <w:rFonts w:ascii="Times New Roman" w:hAnsi="Times New Roman" w:cs="Times New Roman"/>
        </w:rPr>
        <w:t>”</w:t>
      </w:r>
      <w:r w:rsidR="004546A1">
        <w:rPr>
          <w:rFonts w:ascii="Times New Roman" w:hAnsi="Times New Roman" w:cs="Times New Roman"/>
        </w:rPr>
        <w:t>.</w:t>
      </w:r>
      <w:r>
        <w:rPr>
          <w:rFonts w:ascii="Times New Roman" w:hAnsi="Times New Roman" w:cs="Times New Roman"/>
        </w:rPr>
        <w:t xml:space="preserve"> As advertised, section 43B duly defines which disclosures qualify for protection. Section 43J(1) makes void any provision in an agreement in so far as it purports to stop a worker from making a protected disclosure. </w:t>
      </w:r>
      <w:r w:rsidR="00F859B7">
        <w:rPr>
          <w:rFonts w:ascii="Times New Roman" w:hAnsi="Times New Roman" w:cs="Times New Roman"/>
        </w:rPr>
        <w:t>As noted above, s</w:t>
      </w:r>
      <w:r>
        <w:rPr>
          <w:rFonts w:ascii="Times New Roman" w:hAnsi="Times New Roman" w:cs="Times New Roman"/>
        </w:rPr>
        <w:t>ection 43K extends the meanings of ‘worker’ and ‘employer’ for the purposes of Part IVA.</w:t>
      </w:r>
    </w:p>
    <w:p w14:paraId="104CFDDF" w14:textId="77777777" w:rsidR="00876D67" w:rsidRPr="003D2B10" w:rsidRDefault="00876D67" w:rsidP="00AC2BC7">
      <w:pPr>
        <w:spacing w:before="120" w:after="360"/>
        <w:jc w:val="both"/>
        <w:rPr>
          <w:i/>
          <w:iCs/>
        </w:rPr>
      </w:pPr>
      <w:r>
        <w:rPr>
          <w:i/>
          <w:iCs/>
        </w:rPr>
        <w:t>Part V</w:t>
      </w:r>
    </w:p>
    <w:p w14:paraId="74B41E7D" w14:textId="04BFF20E"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Part V has been in the 1996 Act since its enactment. </w:t>
      </w:r>
      <w:r w:rsidR="00F859B7">
        <w:rPr>
          <w:rFonts w:ascii="Times New Roman" w:hAnsi="Times New Roman" w:cs="Times New Roman"/>
        </w:rPr>
        <w:t>It</w:t>
      </w:r>
      <w:r>
        <w:rPr>
          <w:rFonts w:ascii="Times New Roman" w:hAnsi="Times New Roman" w:cs="Times New Roman"/>
        </w:rPr>
        <w:t xml:space="preserve"> originally had four substantive provisions, section 44 (‘Health and safety cases’), section 45 (‘Sunday working for shop and betting workers’), section 46 (‘Trustees of occupational pension schemes’), and section 47 (‘Employee representatives’). Those all used the formula that an employee </w:t>
      </w:r>
      <w:r w:rsidR="000B50D0">
        <w:rPr>
          <w:rFonts w:ascii="Times New Roman" w:hAnsi="Times New Roman" w:cs="Times New Roman"/>
        </w:rPr>
        <w:t>“</w:t>
      </w:r>
      <w:r>
        <w:rPr>
          <w:rFonts w:ascii="Times New Roman" w:hAnsi="Times New Roman" w:cs="Times New Roman"/>
        </w:rPr>
        <w:t xml:space="preserve">has the right not to be subjected to any detriment by any act, or any deliberate failure to act, by his employer </w:t>
      </w:r>
      <w:r w:rsidRPr="00204BE4">
        <w:rPr>
          <w:rFonts w:asciiTheme="majorBidi" w:hAnsiTheme="majorBidi" w:cstheme="majorBidi"/>
        </w:rPr>
        <w:t>done</w:t>
      </w:r>
      <w:r>
        <w:rPr>
          <w:rFonts w:ascii="Times New Roman" w:hAnsi="Times New Roman" w:cs="Times New Roman"/>
        </w:rPr>
        <w:t xml:space="preserve"> on the ground that…</w:t>
      </w:r>
      <w:r w:rsidR="000B50D0">
        <w:rPr>
          <w:rFonts w:ascii="Times New Roman" w:hAnsi="Times New Roman" w:cs="Times New Roman"/>
        </w:rPr>
        <w:t>”</w:t>
      </w:r>
      <w:r>
        <w:rPr>
          <w:rFonts w:ascii="Times New Roman" w:hAnsi="Times New Roman" w:cs="Times New Roman"/>
        </w:rPr>
        <w:t xml:space="preserve"> ‘Detriment’ is not defined. It is an ordinary English word.</w:t>
      </w:r>
    </w:p>
    <w:p w14:paraId="3D029061" w14:textId="004D415F"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Section 48 g</w:t>
      </w:r>
      <w:r w:rsidR="00CB005E">
        <w:rPr>
          <w:rFonts w:ascii="Times New Roman" w:hAnsi="Times New Roman" w:cs="Times New Roman"/>
        </w:rPr>
        <w:t>ives</w:t>
      </w:r>
      <w:r>
        <w:rPr>
          <w:rFonts w:ascii="Times New Roman" w:hAnsi="Times New Roman" w:cs="Times New Roman"/>
        </w:rPr>
        <w:t xml:space="preserve"> an employee a right to present a complaint to an ET that he had been subjected to a detriment contrary to any of those provisions. Section 49 impose</w:t>
      </w:r>
      <w:r w:rsidR="00CB005E">
        <w:rPr>
          <w:rFonts w:ascii="Times New Roman" w:hAnsi="Times New Roman" w:cs="Times New Roman"/>
        </w:rPr>
        <w:t>s</w:t>
      </w:r>
      <w:r>
        <w:rPr>
          <w:rFonts w:ascii="Times New Roman" w:hAnsi="Times New Roman" w:cs="Times New Roman"/>
        </w:rPr>
        <w:t xml:space="preserve"> a duty on the ET to make an appropriate declaration if it </w:t>
      </w:r>
      <w:r w:rsidR="008F6AE4">
        <w:rPr>
          <w:rFonts w:ascii="Times New Roman" w:hAnsi="Times New Roman" w:cs="Times New Roman"/>
        </w:rPr>
        <w:t xml:space="preserve">finds </w:t>
      </w:r>
      <w:r>
        <w:rPr>
          <w:rFonts w:ascii="Times New Roman" w:hAnsi="Times New Roman" w:cs="Times New Roman"/>
        </w:rPr>
        <w:t>a complaint well-founded, and power to award compensation. Section 49(2)-(5) ma</w:t>
      </w:r>
      <w:r w:rsidR="00584476">
        <w:rPr>
          <w:rFonts w:ascii="Times New Roman" w:hAnsi="Times New Roman" w:cs="Times New Roman"/>
        </w:rPr>
        <w:t>kes</w:t>
      </w:r>
      <w:r>
        <w:rPr>
          <w:rFonts w:ascii="Times New Roman" w:hAnsi="Times New Roman" w:cs="Times New Roman"/>
        </w:rPr>
        <w:t xml:space="preserve"> provision about the measure of that compensation. Those provisions are still in the 1996 Act, with some later amendments. </w:t>
      </w:r>
    </w:p>
    <w:p w14:paraId="2669B387" w14:textId="03CCA469"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lastRenderedPageBreak/>
        <w:t xml:space="preserve">Sections 44-47 all </w:t>
      </w:r>
      <w:r w:rsidR="00C20888">
        <w:rPr>
          <w:rFonts w:ascii="Times New Roman" w:hAnsi="Times New Roman" w:cs="Times New Roman"/>
        </w:rPr>
        <w:t xml:space="preserve">contain </w:t>
      </w:r>
      <w:r>
        <w:rPr>
          <w:rFonts w:ascii="Times New Roman" w:hAnsi="Times New Roman" w:cs="Times New Roman"/>
        </w:rPr>
        <w:t>a provision which disapplie</w:t>
      </w:r>
      <w:r w:rsidR="00584476">
        <w:rPr>
          <w:rFonts w:ascii="Times New Roman" w:hAnsi="Times New Roman" w:cs="Times New Roman"/>
        </w:rPr>
        <w:t>s</w:t>
      </w:r>
      <w:r>
        <w:rPr>
          <w:rFonts w:ascii="Times New Roman" w:hAnsi="Times New Roman" w:cs="Times New Roman"/>
        </w:rPr>
        <w:t xml:space="preserve"> them, in whole or in part, where the detriment in question </w:t>
      </w:r>
      <w:r w:rsidR="00C20888">
        <w:rPr>
          <w:rFonts w:ascii="Times New Roman" w:hAnsi="Times New Roman" w:cs="Times New Roman"/>
        </w:rPr>
        <w:t>“</w:t>
      </w:r>
      <w:r>
        <w:rPr>
          <w:rFonts w:ascii="Times New Roman" w:hAnsi="Times New Roman" w:cs="Times New Roman"/>
        </w:rPr>
        <w:t>amounts to a dismissal (within the meaning of Part X)</w:t>
      </w:r>
      <w:r w:rsidR="006538D6">
        <w:rPr>
          <w:rFonts w:ascii="Times New Roman" w:hAnsi="Times New Roman" w:cs="Times New Roman"/>
        </w:rPr>
        <w:t>”</w:t>
      </w:r>
      <w:r>
        <w:rPr>
          <w:rFonts w:ascii="Times New Roman" w:hAnsi="Times New Roman" w:cs="Times New Roman"/>
        </w:rPr>
        <w:t xml:space="preserve"> or</w:t>
      </w:r>
      <w:proofErr w:type="gramStart"/>
      <w:r w:rsidR="006538D6">
        <w:rPr>
          <w:rFonts w:ascii="Times New Roman" w:hAnsi="Times New Roman" w:cs="Times New Roman"/>
        </w:rPr>
        <w:t>,</w:t>
      </w:r>
      <w:r>
        <w:rPr>
          <w:rFonts w:ascii="Times New Roman" w:hAnsi="Times New Roman" w:cs="Times New Roman"/>
        </w:rPr>
        <w:t xml:space="preserve"> as the case may be</w:t>
      </w:r>
      <w:r w:rsidR="006538D6">
        <w:rPr>
          <w:rFonts w:ascii="Times New Roman" w:hAnsi="Times New Roman" w:cs="Times New Roman"/>
        </w:rPr>
        <w:t>,</w:t>
      </w:r>
      <w:r>
        <w:rPr>
          <w:rFonts w:ascii="Times New Roman" w:hAnsi="Times New Roman" w:cs="Times New Roman"/>
        </w:rPr>
        <w:t xml:space="preserve"> </w:t>
      </w:r>
      <w:r w:rsidR="006538D6">
        <w:rPr>
          <w:rFonts w:ascii="Times New Roman" w:hAnsi="Times New Roman" w:cs="Times New Roman"/>
        </w:rPr>
        <w:t>“</w:t>
      </w:r>
      <w:proofErr w:type="gramEnd"/>
      <w:r>
        <w:rPr>
          <w:rFonts w:ascii="Times New Roman" w:hAnsi="Times New Roman" w:cs="Times New Roman"/>
        </w:rPr>
        <w:t>(within the meaning of that Part)</w:t>
      </w:r>
      <w:r w:rsidR="006538D6">
        <w:rPr>
          <w:rFonts w:ascii="Times New Roman" w:hAnsi="Times New Roman" w:cs="Times New Roman"/>
        </w:rPr>
        <w:t>”</w:t>
      </w:r>
      <w:r>
        <w:rPr>
          <w:rFonts w:ascii="Times New Roman" w:hAnsi="Times New Roman" w:cs="Times New Roman"/>
        </w:rPr>
        <w:t xml:space="preserve">. </w:t>
      </w:r>
      <w:r w:rsidR="001C73D1">
        <w:rPr>
          <w:rFonts w:ascii="Times New Roman" w:hAnsi="Times New Roman" w:cs="Times New Roman"/>
        </w:rPr>
        <w:t>Th</w:t>
      </w:r>
      <w:r w:rsidR="006C513B">
        <w:rPr>
          <w:rFonts w:ascii="Times New Roman" w:hAnsi="Times New Roman" w:cs="Times New Roman"/>
        </w:rPr>
        <w:t>is</w:t>
      </w:r>
      <w:r w:rsidR="001C73D1">
        <w:rPr>
          <w:rFonts w:ascii="Times New Roman" w:hAnsi="Times New Roman" w:cs="Times New Roman"/>
        </w:rPr>
        <w:t xml:space="preserve"> disapplication is in </w:t>
      </w:r>
      <w:r w:rsidR="006C513B">
        <w:rPr>
          <w:rFonts w:ascii="Times New Roman" w:hAnsi="Times New Roman" w:cs="Times New Roman"/>
        </w:rPr>
        <w:t>plain</w:t>
      </w:r>
      <w:r w:rsidR="001C73D1">
        <w:rPr>
          <w:rFonts w:ascii="Times New Roman" w:hAnsi="Times New Roman" w:cs="Times New Roman"/>
        </w:rPr>
        <w:t xml:space="preserve"> terms</w:t>
      </w:r>
      <w:r w:rsidR="009318F9">
        <w:rPr>
          <w:rFonts w:ascii="Times New Roman" w:hAnsi="Times New Roman" w:cs="Times New Roman"/>
        </w:rPr>
        <w:t xml:space="preserve">. </w:t>
      </w:r>
      <w:r>
        <w:rPr>
          <w:rFonts w:ascii="Times New Roman" w:hAnsi="Times New Roman" w:cs="Times New Roman"/>
        </w:rPr>
        <w:t xml:space="preserve">In sections 44, 46, and 47, </w:t>
      </w:r>
      <w:r w:rsidR="00584476">
        <w:rPr>
          <w:rFonts w:ascii="Times New Roman" w:hAnsi="Times New Roman" w:cs="Times New Roman"/>
        </w:rPr>
        <w:t xml:space="preserve">it makes </w:t>
      </w:r>
      <w:r>
        <w:rPr>
          <w:rFonts w:ascii="Times New Roman" w:hAnsi="Times New Roman" w:cs="Times New Roman"/>
        </w:rPr>
        <w:t xml:space="preserve">clear that if Part X did not apply to a dismissal (in short, because the dismissal </w:t>
      </w:r>
      <w:r w:rsidRPr="00204BE4">
        <w:rPr>
          <w:rFonts w:asciiTheme="majorBidi" w:hAnsiTheme="majorBidi" w:cstheme="majorBidi"/>
        </w:rPr>
        <w:t>was</w:t>
      </w:r>
      <w:r>
        <w:rPr>
          <w:rFonts w:ascii="Times New Roman" w:hAnsi="Times New Roman" w:cs="Times New Roman"/>
        </w:rPr>
        <w:t xml:space="preserve"> the expiry of a fixed-term contract), the employee </w:t>
      </w:r>
      <w:r w:rsidR="008C2D7D">
        <w:rPr>
          <w:rFonts w:ascii="Times New Roman" w:hAnsi="Times New Roman" w:cs="Times New Roman"/>
        </w:rPr>
        <w:t>i</w:t>
      </w:r>
      <w:r>
        <w:rPr>
          <w:rFonts w:ascii="Times New Roman" w:hAnsi="Times New Roman" w:cs="Times New Roman"/>
        </w:rPr>
        <w:t xml:space="preserve">s not prevented from making a complaint </w:t>
      </w:r>
      <w:r w:rsidR="00D41D97">
        <w:rPr>
          <w:rFonts w:ascii="Times New Roman" w:hAnsi="Times New Roman" w:cs="Times New Roman"/>
        </w:rPr>
        <w:t>under</w:t>
      </w:r>
      <w:r w:rsidR="0047319F">
        <w:rPr>
          <w:rFonts w:ascii="Times New Roman" w:hAnsi="Times New Roman" w:cs="Times New Roman"/>
        </w:rPr>
        <w:t xml:space="preserve"> Part V </w:t>
      </w:r>
      <w:r>
        <w:rPr>
          <w:rFonts w:ascii="Times New Roman" w:hAnsi="Times New Roman" w:cs="Times New Roman"/>
        </w:rPr>
        <w:t>that he ha</w:t>
      </w:r>
      <w:r w:rsidR="008C2D7D">
        <w:rPr>
          <w:rFonts w:ascii="Times New Roman" w:hAnsi="Times New Roman" w:cs="Times New Roman"/>
        </w:rPr>
        <w:t>s</w:t>
      </w:r>
      <w:r>
        <w:rPr>
          <w:rFonts w:ascii="Times New Roman" w:hAnsi="Times New Roman" w:cs="Times New Roman"/>
        </w:rPr>
        <w:t xml:space="preserve"> been subjected to a detriment which amounted to a dismissal.</w:t>
      </w:r>
    </w:p>
    <w:p w14:paraId="40191729" w14:textId="4E1C8478"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Part V has been significantly amended since it was enacted. Its provisions retain the original formula to describe the relevant right (</w:t>
      </w:r>
      <w:r w:rsidRPr="00617003">
        <w:rPr>
          <w:rFonts w:ascii="Times New Roman" w:hAnsi="Times New Roman" w:cs="Times New Roman"/>
        </w:rPr>
        <w:t>see paragraph 3</w:t>
      </w:r>
      <w:r w:rsidR="00B358A3" w:rsidRPr="00617003">
        <w:rPr>
          <w:rFonts w:ascii="Times New Roman" w:hAnsi="Times New Roman" w:cs="Times New Roman"/>
        </w:rPr>
        <w:t>3</w:t>
      </w:r>
      <w:r w:rsidRPr="00617003">
        <w:rPr>
          <w:rFonts w:ascii="Times New Roman" w:hAnsi="Times New Roman" w:cs="Times New Roman"/>
        </w:rPr>
        <w:t xml:space="preserve"> above</w:t>
      </w:r>
      <w:r w:rsidR="00891EF3" w:rsidRPr="00617003">
        <w:rPr>
          <w:rFonts w:ascii="Times New Roman" w:hAnsi="Times New Roman" w:cs="Times New Roman"/>
        </w:rPr>
        <w:t>)</w:t>
      </w:r>
      <w:r w:rsidRPr="00617003">
        <w:rPr>
          <w:rFonts w:ascii="Times New Roman" w:hAnsi="Times New Roman" w:cs="Times New Roman"/>
        </w:rPr>
        <w:t>.</w:t>
      </w:r>
      <w:r>
        <w:rPr>
          <w:rFonts w:ascii="Times New Roman" w:hAnsi="Times New Roman" w:cs="Times New Roman"/>
        </w:rPr>
        <w:t xml:space="preserve"> There are fourteen disparate grounds (examples are an employee’s performance of his duties as the trustee of an occupational pension scheme, his application for flexible working arrangements, and his refusal to become an employee shareholder). In </w:t>
      </w:r>
      <w:r w:rsidR="00ED533D">
        <w:rPr>
          <w:rFonts w:ascii="Times New Roman" w:hAnsi="Times New Roman" w:cs="Times New Roman"/>
        </w:rPr>
        <w:t xml:space="preserve">twelve </w:t>
      </w:r>
      <w:r>
        <w:rPr>
          <w:rFonts w:ascii="Times New Roman" w:hAnsi="Times New Roman" w:cs="Times New Roman"/>
        </w:rPr>
        <w:t xml:space="preserve">cases, the relevant right is conferred on employees. </w:t>
      </w:r>
    </w:p>
    <w:p w14:paraId="1D9A66EC" w14:textId="7B412F18"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Three sections or subsections confer rights on workers. They are section 44(1A) (which concerns health and safety), section 45A (‘Working time cases’) and section 47B, the provision which is at issue in this case. Section 47B was inserted by section 2 of the 1998 Act.</w:t>
      </w:r>
      <w:r w:rsidR="005D1BAC">
        <w:rPr>
          <w:rFonts w:ascii="Times New Roman" w:hAnsi="Times New Roman" w:cs="Times New Roman"/>
        </w:rPr>
        <w:t xml:space="preserve"> </w:t>
      </w:r>
      <w:r w:rsidR="005D1BAC" w:rsidRPr="00DC117D">
        <w:rPr>
          <w:rFonts w:ascii="Times New Roman" w:hAnsi="Times New Roman" w:cs="Times New Roman"/>
        </w:rPr>
        <w:t xml:space="preserve">As amended by the Enterprise and Regulatory Reform Act 2013 (‘the 2013 Act’), it now </w:t>
      </w:r>
      <w:r w:rsidR="00724398" w:rsidRPr="00DC117D">
        <w:rPr>
          <w:rFonts w:ascii="Times New Roman" w:hAnsi="Times New Roman" w:cs="Times New Roman"/>
        </w:rPr>
        <w:t>provides as follows:</w:t>
      </w:r>
    </w:p>
    <w:p w14:paraId="16346BE5" w14:textId="77777777" w:rsidR="00724398" w:rsidRPr="00894C6B" w:rsidRDefault="00724398" w:rsidP="00AC2BC7">
      <w:pPr>
        <w:pStyle w:val="ListParagraph"/>
        <w:spacing w:before="120" w:after="360" w:line="240" w:lineRule="auto"/>
        <w:ind w:left="1134" w:right="1088"/>
        <w:contextualSpacing w:val="0"/>
        <w:jc w:val="both"/>
        <w:rPr>
          <w:rFonts w:ascii="Times New Roman" w:hAnsi="Times New Roman" w:cs="Times New Roman"/>
        </w:rPr>
      </w:pPr>
      <w:r>
        <w:rPr>
          <w:rFonts w:ascii="Times New Roman" w:hAnsi="Times New Roman" w:cs="Times New Roman"/>
        </w:rPr>
        <w:t>“</w:t>
      </w:r>
      <w:r w:rsidRPr="00E45EA8">
        <w:rPr>
          <w:rFonts w:ascii="Times New Roman" w:hAnsi="Times New Roman" w:cs="Times New Roman"/>
          <w:b/>
          <w:bCs/>
        </w:rPr>
        <w:t>47B Protected disclosures.</w:t>
      </w:r>
      <w:r w:rsidRPr="00894C6B">
        <w:rPr>
          <w:rFonts w:ascii="Times New Roman" w:hAnsi="Times New Roman" w:cs="Times New Roman"/>
        </w:rPr>
        <w:t xml:space="preserve"> </w:t>
      </w:r>
    </w:p>
    <w:p w14:paraId="741BDF8B" w14:textId="77777777" w:rsidR="00724398"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894C6B">
        <w:rPr>
          <w:rFonts w:ascii="Times New Roman" w:hAnsi="Times New Roman" w:cs="Times New Roman"/>
        </w:rPr>
        <w:t>(1) A worker has the right not to be subjected to any detriment by any act, or any deliberate failure to act, by his employer done on the ground that the worker has</w:t>
      </w:r>
      <w:r>
        <w:rPr>
          <w:rFonts w:ascii="Times New Roman" w:hAnsi="Times New Roman" w:cs="Times New Roman"/>
        </w:rPr>
        <w:t xml:space="preserve"> </w:t>
      </w:r>
      <w:r w:rsidRPr="00894C6B">
        <w:rPr>
          <w:rFonts w:ascii="Times New Roman" w:hAnsi="Times New Roman" w:cs="Times New Roman"/>
        </w:rPr>
        <w:t xml:space="preserve">made a protected disclosure. </w:t>
      </w:r>
    </w:p>
    <w:p w14:paraId="6C5BCFE7"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(1A) A worker (“W”) has the right not to be subjected to any detriment by any act, or any</w:t>
      </w:r>
      <w:r>
        <w:rPr>
          <w:rFonts w:ascii="Times New Roman" w:hAnsi="Times New Roman" w:cs="Times New Roman"/>
        </w:rPr>
        <w:t xml:space="preserve"> </w:t>
      </w:r>
      <w:r w:rsidRPr="00E85FC5">
        <w:rPr>
          <w:rFonts w:ascii="Times New Roman" w:hAnsi="Times New Roman" w:cs="Times New Roman"/>
        </w:rPr>
        <w:t>deliberate failure to act, done—</w:t>
      </w:r>
    </w:p>
    <w:p w14:paraId="1943CD3A"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(a) by another worker of W</w:t>
      </w:r>
      <w:r>
        <w:rPr>
          <w:rFonts w:ascii="Times New Roman" w:hAnsi="Times New Roman" w:cs="Times New Roman"/>
        </w:rPr>
        <w:t>’</w:t>
      </w:r>
      <w:r w:rsidRPr="00E85FC5">
        <w:rPr>
          <w:rFonts w:ascii="Times New Roman" w:hAnsi="Times New Roman" w:cs="Times New Roman"/>
        </w:rPr>
        <w:t xml:space="preserve">s employer </w:t>
      </w:r>
      <w:proofErr w:type="gramStart"/>
      <w:r w:rsidRPr="00E85FC5">
        <w:rPr>
          <w:rFonts w:ascii="Times New Roman" w:hAnsi="Times New Roman" w:cs="Times New Roman"/>
        </w:rPr>
        <w:t>in the course of</w:t>
      </w:r>
      <w:proofErr w:type="gramEnd"/>
      <w:r w:rsidRPr="00E85FC5">
        <w:rPr>
          <w:rFonts w:ascii="Times New Roman" w:hAnsi="Times New Roman" w:cs="Times New Roman"/>
        </w:rPr>
        <w:t xml:space="preserve"> that other worker</w:t>
      </w:r>
      <w:r>
        <w:rPr>
          <w:rFonts w:ascii="Times New Roman" w:hAnsi="Times New Roman" w:cs="Times New Roman"/>
        </w:rPr>
        <w:t>’</w:t>
      </w:r>
      <w:r w:rsidRPr="00E85FC5">
        <w:rPr>
          <w:rFonts w:ascii="Times New Roman" w:hAnsi="Times New Roman" w:cs="Times New Roman"/>
        </w:rPr>
        <w:t>s</w:t>
      </w:r>
      <w:r>
        <w:rPr>
          <w:rFonts w:ascii="Times New Roman" w:hAnsi="Times New Roman" w:cs="Times New Roman"/>
        </w:rPr>
        <w:t xml:space="preserve"> </w:t>
      </w:r>
      <w:r w:rsidRPr="00E85FC5">
        <w:rPr>
          <w:rFonts w:ascii="Times New Roman" w:hAnsi="Times New Roman" w:cs="Times New Roman"/>
        </w:rPr>
        <w:t>employment, or</w:t>
      </w:r>
    </w:p>
    <w:p w14:paraId="5924EABB" w14:textId="40CAC3E2" w:rsidR="00724398" w:rsidRDefault="00B3460B" w:rsidP="00AC2BC7">
      <w:pPr>
        <w:pStyle w:val="ListParagraph"/>
        <w:spacing w:before="120" w:after="360" w:line="240" w:lineRule="auto"/>
        <w:ind w:left="1134" w:right="1088"/>
        <w:contextualSpacing w:val="0"/>
        <w:jc w:val="both"/>
        <w:rPr>
          <w:rFonts w:ascii="Times New Roman" w:hAnsi="Times New Roman" w:cs="Times New Roman"/>
        </w:rPr>
      </w:pPr>
      <w:r>
        <w:rPr>
          <w:rFonts w:ascii="Times New Roman" w:hAnsi="Times New Roman" w:cs="Times New Roman"/>
        </w:rPr>
        <w:t>(</w:t>
      </w:r>
      <w:r w:rsidR="00724398" w:rsidRPr="00E85FC5">
        <w:rPr>
          <w:rFonts w:ascii="Times New Roman" w:hAnsi="Times New Roman" w:cs="Times New Roman"/>
        </w:rPr>
        <w:t xml:space="preserve">b) by an agent of W's employer with the employer's authority, </w:t>
      </w:r>
    </w:p>
    <w:p w14:paraId="784DFEC4" w14:textId="77777777" w:rsidR="00724398" w:rsidRPr="00B3460B"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B3460B">
        <w:rPr>
          <w:rFonts w:ascii="Times New Roman" w:hAnsi="Times New Roman" w:cs="Times New Roman"/>
        </w:rPr>
        <w:t>on the ground that W has made a protected disclosure.</w:t>
      </w:r>
    </w:p>
    <w:p w14:paraId="6333A88D"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(1B) Where a worker is</w:t>
      </w:r>
      <w:r>
        <w:rPr>
          <w:rFonts w:ascii="Times New Roman" w:hAnsi="Times New Roman" w:cs="Times New Roman"/>
        </w:rPr>
        <w:t xml:space="preserve"> </w:t>
      </w:r>
      <w:r w:rsidRPr="00E85FC5">
        <w:rPr>
          <w:rFonts w:ascii="Times New Roman" w:hAnsi="Times New Roman" w:cs="Times New Roman"/>
        </w:rPr>
        <w:t>subjected to detriment by anything done as mentioned in subsection</w:t>
      </w:r>
      <w:r>
        <w:rPr>
          <w:rFonts w:ascii="Times New Roman" w:hAnsi="Times New Roman" w:cs="Times New Roman"/>
        </w:rPr>
        <w:t xml:space="preserve"> </w:t>
      </w:r>
      <w:r w:rsidRPr="00E85FC5">
        <w:rPr>
          <w:rFonts w:ascii="Times New Roman" w:hAnsi="Times New Roman" w:cs="Times New Roman"/>
        </w:rPr>
        <w:t>(1A), that thing is treated as also done by the worker</w:t>
      </w:r>
      <w:r>
        <w:rPr>
          <w:rFonts w:ascii="Times New Roman" w:hAnsi="Times New Roman" w:cs="Times New Roman"/>
        </w:rPr>
        <w:t>’</w:t>
      </w:r>
      <w:r w:rsidRPr="00E85FC5">
        <w:rPr>
          <w:rFonts w:ascii="Times New Roman" w:hAnsi="Times New Roman" w:cs="Times New Roman"/>
        </w:rPr>
        <w:t>s employer.</w:t>
      </w:r>
    </w:p>
    <w:p w14:paraId="4FD61318"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(1C) For the purposes of subsection (1B), it is immaterial whether the thing is done with</w:t>
      </w:r>
      <w:r>
        <w:rPr>
          <w:rFonts w:ascii="Times New Roman" w:hAnsi="Times New Roman" w:cs="Times New Roman"/>
        </w:rPr>
        <w:t xml:space="preserve"> </w:t>
      </w:r>
      <w:r w:rsidRPr="00E85FC5">
        <w:rPr>
          <w:rFonts w:ascii="Times New Roman" w:hAnsi="Times New Roman" w:cs="Times New Roman"/>
        </w:rPr>
        <w:t>the knowledge or approval of the worker</w:t>
      </w:r>
      <w:r>
        <w:rPr>
          <w:rFonts w:ascii="Times New Roman" w:hAnsi="Times New Roman" w:cs="Times New Roman"/>
        </w:rPr>
        <w:t>’</w:t>
      </w:r>
      <w:r w:rsidRPr="00E85FC5">
        <w:rPr>
          <w:rFonts w:ascii="Times New Roman" w:hAnsi="Times New Roman" w:cs="Times New Roman"/>
        </w:rPr>
        <w:t>s employer.</w:t>
      </w:r>
    </w:p>
    <w:p w14:paraId="62A772CF" w14:textId="26ED9669"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(1D)</w:t>
      </w:r>
      <w:r w:rsidR="004B01E0">
        <w:rPr>
          <w:rFonts w:ascii="Times New Roman" w:hAnsi="Times New Roman" w:cs="Times New Roman"/>
        </w:rPr>
        <w:t xml:space="preserve"> </w:t>
      </w:r>
      <w:r w:rsidRPr="00E85FC5">
        <w:rPr>
          <w:rFonts w:ascii="Times New Roman" w:hAnsi="Times New Roman" w:cs="Times New Roman"/>
        </w:rPr>
        <w:t>In proceedings against W</w:t>
      </w:r>
      <w:r>
        <w:rPr>
          <w:rFonts w:ascii="Times New Roman" w:hAnsi="Times New Roman" w:cs="Times New Roman"/>
        </w:rPr>
        <w:t>’</w:t>
      </w:r>
      <w:r w:rsidRPr="00E85FC5">
        <w:rPr>
          <w:rFonts w:ascii="Times New Roman" w:hAnsi="Times New Roman" w:cs="Times New Roman"/>
        </w:rPr>
        <w:t>s employer in respect of anything alleged to have been done</w:t>
      </w:r>
      <w:r>
        <w:rPr>
          <w:rFonts w:ascii="Times New Roman" w:hAnsi="Times New Roman" w:cs="Times New Roman"/>
        </w:rPr>
        <w:t xml:space="preserve"> </w:t>
      </w:r>
      <w:r w:rsidRPr="00E85FC5">
        <w:rPr>
          <w:rFonts w:ascii="Times New Roman" w:hAnsi="Times New Roman" w:cs="Times New Roman"/>
        </w:rPr>
        <w:t xml:space="preserve">as mentioned in subsection (1A)(a), it is a </w:t>
      </w:r>
      <w:r w:rsidRPr="00E85FC5">
        <w:rPr>
          <w:rFonts w:ascii="Times New Roman" w:hAnsi="Times New Roman" w:cs="Times New Roman"/>
        </w:rPr>
        <w:lastRenderedPageBreak/>
        <w:t>defence for the employer to show that the employer</w:t>
      </w:r>
      <w:r>
        <w:rPr>
          <w:rFonts w:ascii="Times New Roman" w:hAnsi="Times New Roman" w:cs="Times New Roman"/>
        </w:rPr>
        <w:t xml:space="preserve"> </w:t>
      </w:r>
      <w:r w:rsidRPr="00E85FC5">
        <w:rPr>
          <w:rFonts w:ascii="Times New Roman" w:hAnsi="Times New Roman" w:cs="Times New Roman"/>
        </w:rPr>
        <w:t>took all reasonable steps to prevent the other worker—</w:t>
      </w:r>
    </w:p>
    <w:p w14:paraId="4CEC490A"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(a) from doing that thing, or</w:t>
      </w:r>
    </w:p>
    <w:p w14:paraId="1FBAD64F"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(b) from doing anything of that description.</w:t>
      </w:r>
    </w:p>
    <w:p w14:paraId="5DBC47B9"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(1E) A worker or agent of W</w:t>
      </w:r>
      <w:r>
        <w:rPr>
          <w:rFonts w:ascii="Times New Roman" w:hAnsi="Times New Roman" w:cs="Times New Roman"/>
        </w:rPr>
        <w:t>’</w:t>
      </w:r>
      <w:r w:rsidRPr="00E85FC5">
        <w:rPr>
          <w:rFonts w:ascii="Times New Roman" w:hAnsi="Times New Roman" w:cs="Times New Roman"/>
        </w:rPr>
        <w:t>s employer is not liable by reason of subsection (1A) for doing</w:t>
      </w:r>
      <w:r>
        <w:rPr>
          <w:rFonts w:ascii="Times New Roman" w:hAnsi="Times New Roman" w:cs="Times New Roman"/>
        </w:rPr>
        <w:t xml:space="preserve"> </w:t>
      </w:r>
      <w:r w:rsidRPr="00E85FC5">
        <w:rPr>
          <w:rFonts w:ascii="Times New Roman" w:hAnsi="Times New Roman" w:cs="Times New Roman"/>
        </w:rPr>
        <w:t>something that subjects W to detriment if—</w:t>
      </w:r>
    </w:p>
    <w:p w14:paraId="1B1878CC"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(a) the worker or agent does that thing in reliance on a statement by the employer</w:t>
      </w:r>
      <w:r>
        <w:rPr>
          <w:rFonts w:ascii="Times New Roman" w:hAnsi="Times New Roman" w:cs="Times New Roman"/>
        </w:rPr>
        <w:t xml:space="preserve"> </w:t>
      </w:r>
      <w:r w:rsidRPr="00E85FC5">
        <w:rPr>
          <w:rFonts w:ascii="Times New Roman" w:hAnsi="Times New Roman" w:cs="Times New Roman"/>
        </w:rPr>
        <w:t>that doing it does not contravene this Act, and</w:t>
      </w:r>
    </w:p>
    <w:p w14:paraId="14DEF5DD" w14:textId="77777777" w:rsidR="00724398" w:rsidRPr="00E85FC5"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(b) it is reasonable for the worker or agent to rely on the statement.</w:t>
      </w:r>
    </w:p>
    <w:p w14:paraId="488AEB43" w14:textId="77777777" w:rsidR="00724398"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E85FC5">
        <w:rPr>
          <w:rFonts w:ascii="Times New Roman" w:hAnsi="Times New Roman" w:cs="Times New Roman"/>
        </w:rPr>
        <w:t>But this does not prevent the employer from being liable by reason of subsection (1B).</w:t>
      </w:r>
    </w:p>
    <w:p w14:paraId="14704A3A" w14:textId="77777777" w:rsidR="00724398" w:rsidRPr="00E45EA8" w:rsidRDefault="00724398" w:rsidP="00AC2BC7">
      <w:pPr>
        <w:pStyle w:val="ListParagraph"/>
        <w:spacing w:before="120" w:after="360" w:line="240" w:lineRule="auto"/>
        <w:ind w:left="1134" w:right="1088"/>
        <w:contextualSpacing w:val="0"/>
        <w:jc w:val="both"/>
        <w:rPr>
          <w:rFonts w:ascii="Times New Roman" w:hAnsi="Times New Roman" w:cs="Times New Roman"/>
          <w:b/>
          <w:bCs/>
        </w:rPr>
      </w:pPr>
      <w:r w:rsidRPr="00E45EA8">
        <w:rPr>
          <w:rFonts w:ascii="Times New Roman" w:hAnsi="Times New Roman" w:cs="Times New Roman"/>
          <w:b/>
          <w:bCs/>
        </w:rPr>
        <w:t>(2) This section does not apply where—</w:t>
      </w:r>
    </w:p>
    <w:p w14:paraId="32DC413A" w14:textId="77777777" w:rsidR="00724398" w:rsidRPr="00E45EA8" w:rsidRDefault="00724398" w:rsidP="00AC2BC7">
      <w:pPr>
        <w:pStyle w:val="ListParagraph"/>
        <w:spacing w:before="120" w:after="360" w:line="240" w:lineRule="auto"/>
        <w:ind w:left="1134" w:right="1088"/>
        <w:contextualSpacing w:val="0"/>
        <w:jc w:val="both"/>
        <w:rPr>
          <w:rFonts w:ascii="Times New Roman" w:hAnsi="Times New Roman" w:cs="Times New Roman"/>
          <w:b/>
          <w:bCs/>
        </w:rPr>
      </w:pPr>
      <w:r w:rsidRPr="00E45EA8">
        <w:rPr>
          <w:rFonts w:ascii="Times New Roman" w:hAnsi="Times New Roman" w:cs="Times New Roman"/>
          <w:b/>
          <w:bCs/>
        </w:rPr>
        <w:t>(a) the worker is an employee, and</w:t>
      </w:r>
    </w:p>
    <w:p w14:paraId="46BF23B7" w14:textId="77777777" w:rsidR="00724398" w:rsidRPr="006B7376" w:rsidRDefault="00724398" w:rsidP="00AC2BC7">
      <w:pPr>
        <w:pStyle w:val="ListParagraph"/>
        <w:spacing w:before="120" w:after="360" w:line="240" w:lineRule="auto"/>
        <w:ind w:left="1134" w:right="1088"/>
        <w:contextualSpacing w:val="0"/>
        <w:jc w:val="both"/>
        <w:rPr>
          <w:rFonts w:ascii="Times New Roman" w:hAnsi="Times New Roman" w:cs="Times New Roman"/>
          <w:b/>
          <w:bCs/>
        </w:rPr>
      </w:pPr>
      <w:r w:rsidRPr="00E45EA8">
        <w:rPr>
          <w:rFonts w:ascii="Times New Roman" w:hAnsi="Times New Roman" w:cs="Times New Roman"/>
          <w:b/>
          <w:bCs/>
        </w:rPr>
        <w:t xml:space="preserve">(b) </w:t>
      </w:r>
      <w:r w:rsidRPr="006B7376">
        <w:rPr>
          <w:rFonts w:ascii="Times New Roman" w:hAnsi="Times New Roman" w:cs="Times New Roman"/>
          <w:b/>
          <w:bCs/>
        </w:rPr>
        <w:t>the detriment in question amounts to dismissal (within the meaning of Part X).</w:t>
      </w:r>
    </w:p>
    <w:p w14:paraId="2DC9EE8F" w14:textId="77777777" w:rsidR="00724398" w:rsidRDefault="00724398" w:rsidP="00AC2BC7">
      <w:pPr>
        <w:pStyle w:val="ListParagraph"/>
        <w:spacing w:before="120" w:after="360" w:line="240" w:lineRule="auto"/>
        <w:ind w:left="1134" w:right="1088"/>
        <w:contextualSpacing w:val="0"/>
        <w:jc w:val="both"/>
        <w:rPr>
          <w:rFonts w:ascii="Times New Roman" w:hAnsi="Times New Roman" w:cs="Times New Roman"/>
        </w:rPr>
      </w:pPr>
      <w:r w:rsidRPr="006B7376">
        <w:rPr>
          <w:rFonts w:ascii="Times New Roman" w:hAnsi="Times New Roman" w:cs="Times New Roman"/>
        </w:rPr>
        <w:t>(3)</w:t>
      </w:r>
      <w:r>
        <w:rPr>
          <w:rFonts w:ascii="Times New Roman" w:hAnsi="Times New Roman" w:cs="Times New Roman"/>
        </w:rPr>
        <w:t xml:space="preserve"> </w:t>
      </w:r>
      <w:r w:rsidRPr="006B7376">
        <w:rPr>
          <w:rFonts w:ascii="Times New Roman" w:hAnsi="Times New Roman" w:cs="Times New Roman"/>
        </w:rPr>
        <w:t>For the purposes of this section, and of sections 48 and 49 so far as relating to this section, “worker”, “worker’s contrac</w:t>
      </w:r>
      <w:r>
        <w:rPr>
          <w:rFonts w:ascii="Times New Roman" w:hAnsi="Times New Roman" w:cs="Times New Roman"/>
        </w:rPr>
        <w:t>t</w:t>
      </w:r>
      <w:r w:rsidRPr="006B7376">
        <w:rPr>
          <w:rFonts w:ascii="Times New Roman" w:hAnsi="Times New Roman" w:cs="Times New Roman"/>
        </w:rPr>
        <w:t>”, “employment” and “employer” have the extended meaning given by section 43K.</w:t>
      </w:r>
      <w:r>
        <w:rPr>
          <w:rFonts w:ascii="Times New Roman" w:hAnsi="Times New Roman" w:cs="Times New Roman"/>
        </w:rPr>
        <w:t xml:space="preserve">” </w:t>
      </w:r>
    </w:p>
    <w:p w14:paraId="36D1BDF0" w14:textId="77777777" w:rsidR="00724398" w:rsidRPr="00083CEB" w:rsidRDefault="00724398" w:rsidP="00AC2BC7">
      <w:pPr>
        <w:pStyle w:val="ListParagraph"/>
        <w:spacing w:before="120" w:after="360" w:line="240" w:lineRule="auto"/>
        <w:ind w:left="1134" w:right="1088"/>
        <w:contextualSpacing w:val="0"/>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emphasis added</w:t>
      </w:r>
      <w:r>
        <w:rPr>
          <w:rFonts w:ascii="Times New Roman" w:hAnsi="Times New Roman" w:cs="Times New Roman"/>
        </w:rPr>
        <w:t>)</w:t>
      </w:r>
    </w:p>
    <w:p w14:paraId="476B3C35" w14:textId="10D89CF8"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5D4B60">
        <w:rPr>
          <w:rFonts w:ascii="Times New Roman" w:hAnsi="Times New Roman" w:cs="Times New Roman"/>
        </w:rPr>
        <w:t xml:space="preserve">All </w:t>
      </w:r>
      <w:r w:rsidR="00C42F71">
        <w:rPr>
          <w:rFonts w:ascii="Times New Roman" w:hAnsi="Times New Roman" w:cs="Times New Roman"/>
        </w:rPr>
        <w:t>fourteen</w:t>
      </w:r>
      <w:r w:rsidR="00C42F71" w:rsidRPr="005D4B60">
        <w:rPr>
          <w:rFonts w:ascii="Times New Roman" w:hAnsi="Times New Roman" w:cs="Times New Roman"/>
        </w:rPr>
        <w:t xml:space="preserve"> </w:t>
      </w:r>
      <w:r>
        <w:rPr>
          <w:rFonts w:ascii="Times New Roman" w:hAnsi="Times New Roman" w:cs="Times New Roman"/>
        </w:rPr>
        <w:t xml:space="preserve">substantive </w:t>
      </w:r>
      <w:r w:rsidRPr="005D4B60">
        <w:rPr>
          <w:rFonts w:ascii="Times New Roman" w:hAnsi="Times New Roman" w:cs="Times New Roman"/>
        </w:rPr>
        <w:t xml:space="preserve">sections </w:t>
      </w:r>
      <w:r w:rsidR="00962184">
        <w:rPr>
          <w:rFonts w:ascii="Times New Roman" w:hAnsi="Times New Roman" w:cs="Times New Roman"/>
        </w:rPr>
        <w:t xml:space="preserve">in Part V </w:t>
      </w:r>
      <w:r w:rsidRPr="005D4B60">
        <w:rPr>
          <w:rFonts w:ascii="Times New Roman" w:hAnsi="Times New Roman" w:cs="Times New Roman"/>
        </w:rPr>
        <w:t xml:space="preserve">provide for the relationship between the section in question and Part X. Those provisions differ, depending on the context, suggesting a conscious </w:t>
      </w:r>
      <w:r>
        <w:rPr>
          <w:rFonts w:ascii="Times New Roman" w:hAnsi="Times New Roman" w:cs="Times New Roman"/>
        </w:rPr>
        <w:t>drafting choice</w:t>
      </w:r>
      <w:r w:rsidRPr="005D4B60">
        <w:rPr>
          <w:rFonts w:ascii="Times New Roman" w:hAnsi="Times New Roman" w:cs="Times New Roman"/>
        </w:rPr>
        <w:t>. Thus, m</w:t>
      </w:r>
      <w:r>
        <w:rPr>
          <w:rFonts w:ascii="Times New Roman" w:hAnsi="Times New Roman" w:cs="Times New Roman"/>
        </w:rPr>
        <w:t xml:space="preserve">ost </w:t>
      </w:r>
      <w:r w:rsidRPr="005D4B60">
        <w:rPr>
          <w:rFonts w:ascii="Times New Roman" w:hAnsi="Times New Roman" w:cs="Times New Roman"/>
        </w:rPr>
        <w:t xml:space="preserve">of the provisions which apply to employees contain a </w:t>
      </w:r>
      <w:r w:rsidRPr="00204BE4">
        <w:rPr>
          <w:rFonts w:asciiTheme="majorBidi" w:hAnsiTheme="majorBidi" w:cstheme="majorBidi"/>
        </w:rPr>
        <w:t>subsection</w:t>
      </w:r>
      <w:r w:rsidRPr="005D4B60">
        <w:rPr>
          <w:rFonts w:ascii="Times New Roman" w:hAnsi="Times New Roman" w:cs="Times New Roman"/>
        </w:rPr>
        <w:t xml:space="preserve"> which says: </w:t>
      </w:r>
      <w:r w:rsidR="004F77A1">
        <w:rPr>
          <w:rFonts w:ascii="Times New Roman" w:hAnsi="Times New Roman" w:cs="Times New Roman"/>
        </w:rPr>
        <w:t>“</w:t>
      </w:r>
      <w:r w:rsidRPr="005D4B60">
        <w:rPr>
          <w:rFonts w:ascii="Times New Roman" w:hAnsi="Times New Roman" w:cs="Times New Roman"/>
        </w:rPr>
        <w:t>This section does not apply where the detriment in question amount</w:t>
      </w:r>
      <w:r>
        <w:rPr>
          <w:rFonts w:ascii="Times New Roman" w:hAnsi="Times New Roman" w:cs="Times New Roman"/>
        </w:rPr>
        <w:t>s</w:t>
      </w:r>
      <w:r w:rsidRPr="005D4B60">
        <w:rPr>
          <w:rFonts w:ascii="Times New Roman" w:hAnsi="Times New Roman" w:cs="Times New Roman"/>
        </w:rPr>
        <w:t xml:space="preserve"> </w:t>
      </w:r>
      <w:r>
        <w:rPr>
          <w:rFonts w:ascii="Times New Roman" w:hAnsi="Times New Roman" w:cs="Times New Roman"/>
        </w:rPr>
        <w:t>t</w:t>
      </w:r>
      <w:r w:rsidRPr="005D4B60">
        <w:rPr>
          <w:rFonts w:ascii="Times New Roman" w:hAnsi="Times New Roman" w:cs="Times New Roman"/>
        </w:rPr>
        <w:t xml:space="preserve">o dismissal within the meaning of Part </w:t>
      </w:r>
      <w:r>
        <w:rPr>
          <w:rFonts w:ascii="Times New Roman" w:hAnsi="Times New Roman" w:cs="Times New Roman"/>
        </w:rPr>
        <w:t>X</w:t>
      </w:r>
      <w:r w:rsidR="004F77A1">
        <w:rPr>
          <w:rFonts w:ascii="Times New Roman" w:hAnsi="Times New Roman" w:cs="Times New Roman"/>
        </w:rPr>
        <w:t>”</w:t>
      </w:r>
      <w:r>
        <w:rPr>
          <w:rFonts w:ascii="Times New Roman" w:hAnsi="Times New Roman" w:cs="Times New Roman"/>
        </w:rPr>
        <w:t>. Later provisions use ‘10’ instead of ‘X’. Some of those provisions, however, do not disapply the whole section, but only parts of it: see section 45(4)</w:t>
      </w:r>
      <w:r w:rsidR="005173F9">
        <w:rPr>
          <w:rFonts w:ascii="Times New Roman" w:hAnsi="Times New Roman" w:cs="Times New Roman"/>
        </w:rPr>
        <w:t>,</w:t>
      </w:r>
      <w:r>
        <w:rPr>
          <w:rFonts w:ascii="Times New Roman" w:hAnsi="Times New Roman" w:cs="Times New Roman"/>
        </w:rPr>
        <w:t xml:space="preserve"> which disapplies section 45(1) and (3), and section 45ZA(5), which disapplies section 45ZA(2) and (4). The provisions which apply to workers use the formula that the relevant section does not apply where the worker is an employee and </w:t>
      </w:r>
      <w:r w:rsidR="00C47526">
        <w:rPr>
          <w:rFonts w:ascii="Times New Roman" w:hAnsi="Times New Roman" w:cs="Times New Roman"/>
        </w:rPr>
        <w:t>“</w:t>
      </w:r>
      <w:r>
        <w:rPr>
          <w:rFonts w:ascii="Times New Roman" w:hAnsi="Times New Roman" w:cs="Times New Roman"/>
        </w:rPr>
        <w:t>the detriment in question amounts to dismissal within the meaning of Part X</w:t>
      </w:r>
      <w:r w:rsidR="00C47526">
        <w:rPr>
          <w:rFonts w:ascii="Times New Roman" w:hAnsi="Times New Roman" w:cs="Times New Roman"/>
        </w:rPr>
        <w:t>”</w:t>
      </w:r>
      <w:r w:rsidR="005F61F1">
        <w:rPr>
          <w:rFonts w:ascii="Times New Roman" w:hAnsi="Times New Roman" w:cs="Times New Roman"/>
        </w:rPr>
        <w:t xml:space="preserve"> – </w:t>
      </w:r>
      <w:r>
        <w:rPr>
          <w:rFonts w:ascii="Times New Roman" w:hAnsi="Times New Roman" w:cs="Times New Roman"/>
        </w:rPr>
        <w:t>sections 44(4), 45A(4) and 45B(2).</w:t>
      </w:r>
    </w:p>
    <w:p w14:paraId="77F19A3D" w14:textId="09EC4CEE"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As originally inserted by section 2 of the 1998 Act, section 47B(1</w:t>
      </w:r>
      <w:r w:rsidRPr="0043069A">
        <w:rPr>
          <w:rFonts w:ascii="Times New Roman" w:hAnsi="Times New Roman" w:cs="Times New Roman"/>
        </w:rPr>
        <w:t>) confer</w:t>
      </w:r>
      <w:r w:rsidR="00BB3846" w:rsidRPr="0043069A">
        <w:rPr>
          <w:rFonts w:ascii="Times New Roman" w:hAnsi="Times New Roman" w:cs="Times New Roman"/>
        </w:rPr>
        <w:t>s</w:t>
      </w:r>
      <w:r w:rsidRPr="0043069A">
        <w:rPr>
          <w:rFonts w:ascii="Times New Roman" w:hAnsi="Times New Roman" w:cs="Times New Roman"/>
        </w:rPr>
        <w:t xml:space="preserve"> a right on a worker not to be subjected to any detriment (using the common formula</w:t>
      </w:r>
      <w:r w:rsidR="00E954BE" w:rsidRPr="0043069A">
        <w:rPr>
          <w:rFonts w:ascii="Times New Roman" w:hAnsi="Times New Roman" w:cs="Times New Roman"/>
        </w:rPr>
        <w:t>,</w:t>
      </w:r>
      <w:r w:rsidRPr="0043069A">
        <w:rPr>
          <w:rFonts w:ascii="Times New Roman" w:hAnsi="Times New Roman" w:cs="Times New Roman"/>
        </w:rPr>
        <w:t xml:space="preserve"> see paragraph 3</w:t>
      </w:r>
      <w:r w:rsidR="00B358A3" w:rsidRPr="0043069A">
        <w:rPr>
          <w:rFonts w:ascii="Times New Roman" w:hAnsi="Times New Roman" w:cs="Times New Roman"/>
        </w:rPr>
        <w:t>3</w:t>
      </w:r>
      <w:r w:rsidRPr="0043069A">
        <w:rPr>
          <w:rFonts w:ascii="Times New Roman" w:hAnsi="Times New Roman" w:cs="Times New Roman"/>
        </w:rPr>
        <w:t xml:space="preserve"> above) on the ground the worker had made a protected disclosure. Section 47B(1) </w:t>
      </w:r>
      <w:r w:rsidRPr="0043069A">
        <w:rPr>
          <w:rFonts w:ascii="Times New Roman" w:hAnsi="Times New Roman" w:cs="Times New Roman"/>
        </w:rPr>
        <w:lastRenderedPageBreak/>
        <w:t>has not been amended since. Section 47B(2) in its original form catered for the expiry of fixed-term contracts (see paragraph 3</w:t>
      </w:r>
      <w:r w:rsidR="00B358A3" w:rsidRPr="0043069A">
        <w:rPr>
          <w:rFonts w:ascii="Times New Roman" w:hAnsi="Times New Roman" w:cs="Times New Roman"/>
        </w:rPr>
        <w:t>5</w:t>
      </w:r>
      <w:r w:rsidRPr="0043069A">
        <w:rPr>
          <w:rFonts w:ascii="Times New Roman" w:hAnsi="Times New Roman" w:cs="Times New Roman"/>
        </w:rPr>
        <w:t>). Section 47B(2) was amended</w:t>
      </w:r>
      <w:r>
        <w:rPr>
          <w:rFonts w:ascii="Times New Roman" w:hAnsi="Times New Roman" w:cs="Times New Roman"/>
        </w:rPr>
        <w:t xml:space="preserve"> in 1999 to its current form. Section 47B(3) provided, and still provides, that for the purposes of section 47B, and of sections 48 and 49, so far as they related to section 47B, ‘worker’ has the extended meaning given to it by section 43K. </w:t>
      </w:r>
    </w:p>
    <w:p w14:paraId="0AB6FFF6" w14:textId="405C6F33" w:rsidR="00876D67" w:rsidRPr="00DA3703" w:rsidRDefault="00876D67" w:rsidP="00AC2BC7">
      <w:pPr>
        <w:spacing w:before="120" w:after="360"/>
        <w:jc w:val="both"/>
        <w:rPr>
          <w:lang w:val="it-IT"/>
        </w:rPr>
      </w:pPr>
      <w:r w:rsidRPr="00DA3703">
        <w:rPr>
          <w:i/>
          <w:iCs/>
          <w:lang w:val="it-IT"/>
        </w:rPr>
        <w:t>Melia v Magna Kansei</w:t>
      </w:r>
    </w:p>
    <w:p w14:paraId="29864621" w14:textId="2C7C207F"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5F16FA">
        <w:rPr>
          <w:rFonts w:ascii="Times New Roman" w:hAnsi="Times New Roman" w:cs="Times New Roman"/>
        </w:rPr>
        <w:t xml:space="preserve">In </w:t>
      </w:r>
      <w:r w:rsidRPr="005F16FA">
        <w:rPr>
          <w:rFonts w:ascii="Times New Roman" w:hAnsi="Times New Roman" w:cs="Times New Roman"/>
          <w:i/>
          <w:iCs/>
        </w:rPr>
        <w:t xml:space="preserve">Melia v Magna </w:t>
      </w:r>
      <w:proofErr w:type="spellStart"/>
      <w:r w:rsidRPr="005F16FA">
        <w:rPr>
          <w:rFonts w:ascii="Times New Roman" w:hAnsi="Times New Roman" w:cs="Times New Roman"/>
          <w:i/>
          <w:iCs/>
        </w:rPr>
        <w:t>Kansei</w:t>
      </w:r>
      <w:proofErr w:type="spellEnd"/>
      <w:r w:rsidRPr="005F16FA">
        <w:rPr>
          <w:rFonts w:ascii="Times New Roman" w:hAnsi="Times New Roman" w:cs="Times New Roman"/>
          <w:i/>
          <w:iCs/>
        </w:rPr>
        <w:t xml:space="preserve"> Limited </w:t>
      </w:r>
      <w:r w:rsidRPr="005F16FA">
        <w:rPr>
          <w:rFonts w:ascii="Times New Roman" w:hAnsi="Times New Roman" w:cs="Times New Roman"/>
        </w:rPr>
        <w:t xml:space="preserve">[2005] EWCA </w:t>
      </w:r>
      <w:proofErr w:type="spellStart"/>
      <w:r w:rsidRPr="005F16FA">
        <w:rPr>
          <w:rFonts w:ascii="Times New Roman" w:hAnsi="Times New Roman" w:cs="Times New Roman"/>
        </w:rPr>
        <w:t>Civ</w:t>
      </w:r>
      <w:proofErr w:type="spellEnd"/>
      <w:r w:rsidRPr="005F16FA">
        <w:rPr>
          <w:rFonts w:ascii="Times New Roman" w:hAnsi="Times New Roman" w:cs="Times New Roman"/>
        </w:rPr>
        <w:t xml:space="preserve"> 1547; [2006] ICR 410 </w:t>
      </w:r>
      <w:r w:rsidR="00EE0654">
        <w:rPr>
          <w:rFonts w:ascii="Times New Roman" w:hAnsi="Times New Roman" w:cs="Times New Roman"/>
        </w:rPr>
        <w:t>(‘</w:t>
      </w:r>
      <w:r w:rsidR="00EE0654" w:rsidRPr="00AD1496">
        <w:rPr>
          <w:rFonts w:ascii="Times New Roman" w:hAnsi="Times New Roman" w:cs="Times New Roman"/>
          <w:i/>
          <w:iCs/>
        </w:rPr>
        <w:t>Melia</w:t>
      </w:r>
      <w:r w:rsidR="00EE0654">
        <w:rPr>
          <w:rFonts w:ascii="Times New Roman" w:hAnsi="Times New Roman" w:cs="Times New Roman"/>
        </w:rPr>
        <w:t>’</w:t>
      </w:r>
      <w:r w:rsidR="00AD1496">
        <w:rPr>
          <w:rFonts w:ascii="Times New Roman" w:hAnsi="Times New Roman" w:cs="Times New Roman"/>
        </w:rPr>
        <w:t xml:space="preserve">) </w:t>
      </w:r>
      <w:r w:rsidRPr="00EE0654">
        <w:rPr>
          <w:rFonts w:ascii="Times New Roman" w:hAnsi="Times New Roman" w:cs="Times New Roman"/>
        </w:rPr>
        <w:t>this</w:t>
      </w:r>
      <w:r w:rsidRPr="005F16FA">
        <w:rPr>
          <w:rFonts w:ascii="Times New Roman" w:hAnsi="Times New Roman" w:cs="Times New Roman"/>
        </w:rPr>
        <w:t xml:space="preserve"> court </w:t>
      </w:r>
      <w:r w:rsidR="00E17730">
        <w:rPr>
          <w:rFonts w:ascii="Times New Roman" w:hAnsi="Times New Roman" w:cs="Times New Roman"/>
        </w:rPr>
        <w:t>(</w:t>
      </w:r>
      <w:r w:rsidR="00E17730" w:rsidRPr="005F16FA">
        <w:rPr>
          <w:rFonts w:ascii="Times New Roman" w:hAnsi="Times New Roman" w:cs="Times New Roman"/>
        </w:rPr>
        <w:t>Chadwick LJ, with wh</w:t>
      </w:r>
      <w:r w:rsidR="00E17730">
        <w:rPr>
          <w:rFonts w:ascii="Times New Roman" w:hAnsi="Times New Roman" w:cs="Times New Roman"/>
        </w:rPr>
        <w:t>om</w:t>
      </w:r>
      <w:r w:rsidR="00E17730" w:rsidRPr="005F16FA">
        <w:rPr>
          <w:rFonts w:ascii="Times New Roman" w:hAnsi="Times New Roman" w:cs="Times New Roman"/>
        </w:rPr>
        <w:t xml:space="preserve"> </w:t>
      </w:r>
      <w:r w:rsidR="00E17730">
        <w:rPr>
          <w:rFonts w:ascii="Times New Roman" w:hAnsi="Times New Roman" w:cs="Times New Roman"/>
        </w:rPr>
        <w:t>Smith and Wilson LJJ agreed)</w:t>
      </w:r>
      <w:r w:rsidR="00E17730" w:rsidRPr="005F16FA">
        <w:rPr>
          <w:rFonts w:ascii="Times New Roman" w:hAnsi="Times New Roman" w:cs="Times New Roman"/>
        </w:rPr>
        <w:t xml:space="preserve"> </w:t>
      </w:r>
      <w:r w:rsidRPr="005F16FA">
        <w:rPr>
          <w:rFonts w:ascii="Times New Roman" w:hAnsi="Times New Roman" w:cs="Times New Roman"/>
        </w:rPr>
        <w:t xml:space="preserve">considered Part V as it then stood: </w:t>
      </w:r>
      <w:proofErr w:type="gramStart"/>
      <w:r w:rsidRPr="005F16FA">
        <w:rPr>
          <w:rFonts w:ascii="Times New Roman" w:hAnsi="Times New Roman" w:cs="Times New Roman"/>
        </w:rPr>
        <w:t>so</w:t>
      </w:r>
      <w:proofErr w:type="gramEnd"/>
      <w:r w:rsidRPr="005F16FA">
        <w:rPr>
          <w:rFonts w:ascii="Times New Roman" w:hAnsi="Times New Roman" w:cs="Times New Roman"/>
        </w:rPr>
        <w:t xml:space="preserve"> after </w:t>
      </w:r>
      <w:r w:rsidRPr="0089552D">
        <w:rPr>
          <w:rFonts w:ascii="Times New Roman" w:hAnsi="Times New Roman" w:cs="Times New Roman"/>
        </w:rPr>
        <w:t xml:space="preserve">the 1998 amendments, but before the amendments in 2013 (see paragraph </w:t>
      </w:r>
      <w:r w:rsidR="002A0472" w:rsidRPr="0089552D">
        <w:rPr>
          <w:rFonts w:ascii="Times New Roman" w:hAnsi="Times New Roman" w:cs="Times New Roman"/>
        </w:rPr>
        <w:t>49</w:t>
      </w:r>
      <w:r w:rsidRPr="0089552D">
        <w:rPr>
          <w:rFonts w:ascii="Times New Roman" w:hAnsi="Times New Roman" w:cs="Times New Roman"/>
        </w:rPr>
        <w:t xml:space="preserve"> below). </w:t>
      </w:r>
      <w:r w:rsidR="0082701B" w:rsidRPr="0089552D">
        <w:rPr>
          <w:rFonts w:ascii="Times New Roman" w:hAnsi="Times New Roman" w:cs="Times New Roman"/>
        </w:rPr>
        <w:t>The</w:t>
      </w:r>
      <w:r w:rsidR="0082701B" w:rsidRPr="005F16FA">
        <w:rPr>
          <w:rFonts w:ascii="Times New Roman" w:hAnsi="Times New Roman" w:cs="Times New Roman"/>
        </w:rPr>
        <w:t xml:space="preserve"> claimant’s allegation</w:t>
      </w:r>
      <w:r w:rsidR="0082701B">
        <w:rPr>
          <w:rFonts w:ascii="Times New Roman" w:hAnsi="Times New Roman" w:cs="Times New Roman"/>
        </w:rPr>
        <w:t xml:space="preserve"> </w:t>
      </w:r>
      <w:r w:rsidR="0082701B" w:rsidRPr="005F16FA">
        <w:rPr>
          <w:rFonts w:ascii="Times New Roman" w:hAnsi="Times New Roman" w:cs="Times New Roman"/>
        </w:rPr>
        <w:t xml:space="preserve">was that he was forced to resign because he was a </w:t>
      </w:r>
      <w:r w:rsidR="0082701B">
        <w:rPr>
          <w:rFonts w:ascii="Times New Roman" w:hAnsi="Times New Roman" w:cs="Times New Roman"/>
        </w:rPr>
        <w:t xml:space="preserve">whistleblower. </w:t>
      </w:r>
      <w:r w:rsidRPr="005F16FA">
        <w:rPr>
          <w:rFonts w:ascii="Times New Roman" w:hAnsi="Times New Roman" w:cs="Times New Roman"/>
        </w:rPr>
        <w:t xml:space="preserve">The issue was whether </w:t>
      </w:r>
      <w:r w:rsidR="00357F23">
        <w:rPr>
          <w:rFonts w:ascii="Times New Roman" w:hAnsi="Times New Roman" w:cs="Times New Roman"/>
        </w:rPr>
        <w:t>he</w:t>
      </w:r>
      <w:r w:rsidRPr="005F16FA">
        <w:rPr>
          <w:rFonts w:ascii="Times New Roman" w:hAnsi="Times New Roman" w:cs="Times New Roman"/>
        </w:rPr>
        <w:t xml:space="preserve"> could base a detriment claim on the series of acts on which he relied as a repudiat</w:t>
      </w:r>
      <w:r>
        <w:rPr>
          <w:rFonts w:ascii="Times New Roman" w:hAnsi="Times New Roman" w:cs="Times New Roman"/>
        </w:rPr>
        <w:t xml:space="preserve">ory breach </w:t>
      </w:r>
      <w:r w:rsidRPr="005F16FA">
        <w:rPr>
          <w:rFonts w:ascii="Times New Roman" w:hAnsi="Times New Roman" w:cs="Times New Roman"/>
        </w:rPr>
        <w:t xml:space="preserve">of the contract of employment, so long as those acts were before the date when he resigned. </w:t>
      </w:r>
      <w:r w:rsidR="00FA4CEF">
        <w:rPr>
          <w:rFonts w:ascii="Times New Roman" w:hAnsi="Times New Roman" w:cs="Times New Roman"/>
        </w:rPr>
        <w:t xml:space="preserve">The ET had awarded the claimant compensation under Part V up until June 2001, the date when the ET found that the claimant would have been entitled to resign, rather than up until November 2001, when he had in fact </w:t>
      </w:r>
      <w:r w:rsidR="00FA4CEF" w:rsidRPr="00204BE4">
        <w:rPr>
          <w:rFonts w:asciiTheme="majorBidi" w:hAnsiTheme="majorBidi" w:cstheme="majorBidi"/>
        </w:rPr>
        <w:t>resigned</w:t>
      </w:r>
      <w:r w:rsidR="00FA4CEF">
        <w:rPr>
          <w:rFonts w:ascii="Times New Roman" w:hAnsi="Times New Roman" w:cs="Times New Roman"/>
        </w:rPr>
        <w:t xml:space="preserve">. </w:t>
      </w:r>
    </w:p>
    <w:p w14:paraId="06915885" w14:textId="53237022" w:rsidR="00CC03AF" w:rsidRPr="00F80D8C" w:rsidRDefault="00964D25"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F80D8C">
        <w:rPr>
          <w:rFonts w:ascii="Times New Roman" w:hAnsi="Times New Roman" w:cs="Times New Roman"/>
        </w:rPr>
        <w:t xml:space="preserve">For our purposes, the </w:t>
      </w:r>
      <w:r w:rsidRPr="00F80D8C">
        <w:rPr>
          <w:rFonts w:asciiTheme="majorBidi" w:hAnsiTheme="majorBidi" w:cstheme="majorBidi"/>
        </w:rPr>
        <w:t xml:space="preserve">significance of </w:t>
      </w:r>
      <w:r w:rsidRPr="00F80D8C">
        <w:rPr>
          <w:rFonts w:asciiTheme="majorBidi" w:hAnsiTheme="majorBidi" w:cstheme="majorBidi"/>
          <w:i/>
          <w:iCs/>
        </w:rPr>
        <w:t xml:space="preserve">Melia </w:t>
      </w:r>
      <w:r w:rsidRPr="00F80D8C">
        <w:rPr>
          <w:rFonts w:asciiTheme="majorBidi" w:hAnsiTheme="majorBidi" w:cstheme="majorBidi"/>
        </w:rPr>
        <w:t xml:space="preserve">lies in </w:t>
      </w:r>
      <w:r w:rsidR="00722112" w:rsidRPr="00F80D8C">
        <w:rPr>
          <w:rFonts w:asciiTheme="majorBidi" w:hAnsiTheme="majorBidi" w:cstheme="majorBidi"/>
        </w:rPr>
        <w:t>its treatment of the architecture of the 1996 Act as amended by the 1998 Act.</w:t>
      </w:r>
      <w:r w:rsidR="00F80D8C" w:rsidRPr="00F80D8C">
        <w:rPr>
          <w:rFonts w:asciiTheme="majorBidi" w:hAnsiTheme="majorBidi" w:cstheme="majorBidi"/>
        </w:rPr>
        <w:t xml:space="preserve"> </w:t>
      </w:r>
      <w:r w:rsidR="00876D67" w:rsidRPr="00F80D8C">
        <w:rPr>
          <w:rFonts w:asciiTheme="majorBidi" w:hAnsiTheme="majorBidi" w:cstheme="majorBidi"/>
        </w:rPr>
        <w:t>Chadwick LJ described the provisions of</w:t>
      </w:r>
      <w:r w:rsidR="00876D67" w:rsidRPr="00F80D8C">
        <w:rPr>
          <w:rFonts w:ascii="Times New Roman" w:hAnsi="Times New Roman" w:cs="Times New Roman"/>
        </w:rPr>
        <w:t xml:space="preserve"> the 1998 Act, </w:t>
      </w:r>
      <w:r w:rsidR="005D3A2B" w:rsidRPr="00F80D8C">
        <w:rPr>
          <w:rFonts w:ascii="Times New Roman" w:hAnsi="Times New Roman" w:cs="Times New Roman"/>
        </w:rPr>
        <w:t xml:space="preserve">and </w:t>
      </w:r>
      <w:r w:rsidR="00876D67" w:rsidRPr="00F80D8C">
        <w:rPr>
          <w:rFonts w:ascii="Times New Roman" w:hAnsi="Times New Roman" w:cs="Times New Roman"/>
        </w:rPr>
        <w:t>their introduction into Part V, and Part X. He said, in paragraph 15</w:t>
      </w:r>
      <w:r w:rsidR="00CC03AF" w:rsidRPr="00F80D8C">
        <w:rPr>
          <w:rFonts w:ascii="Times New Roman" w:hAnsi="Times New Roman" w:cs="Times New Roman"/>
        </w:rPr>
        <w:t>:</w:t>
      </w:r>
      <w:r w:rsidR="00876D67" w:rsidRPr="00F80D8C">
        <w:rPr>
          <w:rFonts w:ascii="Times New Roman" w:hAnsi="Times New Roman" w:cs="Times New Roman"/>
        </w:rPr>
        <w:t xml:space="preserve"> </w:t>
      </w:r>
    </w:p>
    <w:p w14:paraId="6D1E659D" w14:textId="60315B8F" w:rsidR="00CC03AF" w:rsidRDefault="00CC03AF" w:rsidP="00AC2BC7">
      <w:pPr>
        <w:pStyle w:val="ListParagraph"/>
        <w:spacing w:before="120" w:after="360" w:line="240" w:lineRule="auto"/>
        <w:ind w:left="1134" w:right="1088"/>
        <w:contextualSpacing w:val="0"/>
        <w:jc w:val="both"/>
        <w:rPr>
          <w:rFonts w:ascii="Times New Roman" w:hAnsi="Times New Roman" w:cs="Times New Roman"/>
        </w:rPr>
      </w:pPr>
      <w:r>
        <w:rPr>
          <w:rFonts w:ascii="Times New Roman" w:hAnsi="Times New Roman" w:cs="Times New Roman"/>
        </w:rPr>
        <w:t>“</w:t>
      </w:r>
      <w:r w:rsidRPr="00CC03AF">
        <w:rPr>
          <w:rFonts w:ascii="Times New Roman" w:hAnsi="Times New Roman" w:cs="Times New Roman"/>
        </w:rPr>
        <w:t xml:space="preserve">As I have explained, sections 47B and 103A of the 1996 </w:t>
      </w:r>
      <w:proofErr w:type="gramStart"/>
      <w:r w:rsidRPr="00CC03AF">
        <w:rPr>
          <w:rFonts w:ascii="Times New Roman" w:hAnsi="Times New Roman" w:cs="Times New Roman"/>
        </w:rPr>
        <w:t>Act spring</w:t>
      </w:r>
      <w:proofErr w:type="gramEnd"/>
      <w:r>
        <w:rPr>
          <w:rFonts w:ascii="Times New Roman" w:hAnsi="Times New Roman" w:cs="Times New Roman"/>
        </w:rPr>
        <w:t xml:space="preserve"> </w:t>
      </w:r>
      <w:r w:rsidRPr="00CC03AF">
        <w:rPr>
          <w:rFonts w:ascii="Times New Roman" w:hAnsi="Times New Roman" w:cs="Times New Roman"/>
        </w:rPr>
        <w:t>from the same root</w:t>
      </w:r>
      <w:r>
        <w:rPr>
          <w:rFonts w:ascii="Times New Roman" w:hAnsi="Times New Roman" w:cs="Times New Roman"/>
        </w:rPr>
        <w:t xml:space="preserve"> – t</w:t>
      </w:r>
      <w:r w:rsidRPr="00CC03AF">
        <w:rPr>
          <w:rFonts w:ascii="Times New Roman" w:hAnsi="Times New Roman" w:cs="Times New Roman"/>
        </w:rPr>
        <w:t>he Public Interest Disclosure Act 1998. The two</w:t>
      </w:r>
      <w:r>
        <w:rPr>
          <w:rFonts w:ascii="Times New Roman" w:hAnsi="Times New Roman" w:cs="Times New Roman"/>
        </w:rPr>
        <w:t xml:space="preserve"> </w:t>
      </w:r>
      <w:r w:rsidRPr="00CC03AF">
        <w:rPr>
          <w:rFonts w:ascii="Times New Roman" w:hAnsi="Times New Roman" w:cs="Times New Roman"/>
        </w:rPr>
        <w:t>sections are parallel elements in the protection which Parliament has</w:t>
      </w:r>
      <w:r>
        <w:rPr>
          <w:rFonts w:ascii="Times New Roman" w:hAnsi="Times New Roman" w:cs="Times New Roman"/>
        </w:rPr>
        <w:t xml:space="preserve"> </w:t>
      </w:r>
      <w:r w:rsidRPr="00CC03AF">
        <w:rPr>
          <w:rFonts w:ascii="Times New Roman" w:hAnsi="Times New Roman" w:cs="Times New Roman"/>
        </w:rPr>
        <w:t>decided to give to whistleblowers. The sections would, in any event, be</w:t>
      </w:r>
      <w:r>
        <w:rPr>
          <w:rFonts w:ascii="Times New Roman" w:hAnsi="Times New Roman" w:cs="Times New Roman"/>
        </w:rPr>
        <w:t xml:space="preserve"> </w:t>
      </w:r>
      <w:r w:rsidRPr="00CC03AF">
        <w:rPr>
          <w:rFonts w:ascii="Times New Roman" w:hAnsi="Times New Roman" w:cs="Times New Roman"/>
        </w:rPr>
        <w:t>read together; if only because they are now sections in the same Act, the</w:t>
      </w:r>
      <w:r>
        <w:rPr>
          <w:rFonts w:ascii="Times New Roman" w:hAnsi="Times New Roman" w:cs="Times New Roman"/>
        </w:rPr>
        <w:t xml:space="preserve"> </w:t>
      </w:r>
      <w:r w:rsidRPr="00CC03AF">
        <w:rPr>
          <w:rFonts w:ascii="Times New Roman" w:hAnsi="Times New Roman" w:cs="Times New Roman"/>
        </w:rPr>
        <w:t>1996 Act. But the fact that they spring from the same root (the 1998</w:t>
      </w:r>
      <w:r>
        <w:rPr>
          <w:rFonts w:ascii="Times New Roman" w:hAnsi="Times New Roman" w:cs="Times New Roman"/>
        </w:rPr>
        <w:t xml:space="preserve"> </w:t>
      </w:r>
      <w:r w:rsidRPr="00CC03AF">
        <w:rPr>
          <w:rFonts w:ascii="Times New Roman" w:hAnsi="Times New Roman" w:cs="Times New Roman"/>
        </w:rPr>
        <w:t>Act)</w:t>
      </w:r>
      <w:r>
        <w:rPr>
          <w:rFonts w:ascii="Times New Roman" w:hAnsi="Times New Roman" w:cs="Times New Roman"/>
        </w:rPr>
        <w:t xml:space="preserve"> </w:t>
      </w:r>
      <w:r w:rsidRPr="00CC03AF">
        <w:rPr>
          <w:rFonts w:ascii="Times New Roman" w:hAnsi="Times New Roman" w:cs="Times New Roman"/>
        </w:rPr>
        <w:t>and the fact that section 47B is plainly made subject to the limitation</w:t>
      </w:r>
      <w:r>
        <w:rPr>
          <w:rFonts w:ascii="Times New Roman" w:hAnsi="Times New Roman" w:cs="Times New Roman"/>
        </w:rPr>
        <w:t xml:space="preserve"> </w:t>
      </w:r>
      <w:r w:rsidRPr="00CC03AF">
        <w:rPr>
          <w:rFonts w:ascii="Times New Roman" w:hAnsi="Times New Roman" w:cs="Times New Roman"/>
        </w:rPr>
        <w:t>imposed by subsection (2) with section 103A in mind</w:t>
      </w:r>
      <w:r w:rsidR="00964D25">
        <w:rPr>
          <w:rFonts w:ascii="Times New Roman" w:hAnsi="Times New Roman" w:cs="Times New Roman"/>
        </w:rPr>
        <w:t xml:space="preserve"> </w:t>
      </w:r>
      <w:r w:rsidRPr="00CC03AF">
        <w:rPr>
          <w:rFonts w:ascii="Times New Roman" w:hAnsi="Times New Roman" w:cs="Times New Roman"/>
        </w:rPr>
        <w:t>lead irresistibly to</w:t>
      </w:r>
      <w:r w:rsidR="00F80D8C">
        <w:rPr>
          <w:rFonts w:ascii="Times New Roman" w:hAnsi="Times New Roman" w:cs="Times New Roman"/>
        </w:rPr>
        <w:t xml:space="preserve"> </w:t>
      </w:r>
      <w:r w:rsidRPr="00CC03AF">
        <w:rPr>
          <w:rFonts w:ascii="Times New Roman" w:hAnsi="Times New Roman" w:cs="Times New Roman"/>
        </w:rPr>
        <w:t>the conclusion that the two provisions are intended to be complementary.</w:t>
      </w:r>
      <w:r w:rsidR="00F80D8C">
        <w:rPr>
          <w:rFonts w:ascii="Times New Roman" w:hAnsi="Times New Roman" w:cs="Times New Roman"/>
        </w:rPr>
        <w:t xml:space="preserve"> </w:t>
      </w:r>
      <w:r w:rsidRPr="00CC03AF">
        <w:rPr>
          <w:rFonts w:ascii="Times New Roman" w:hAnsi="Times New Roman" w:cs="Times New Roman"/>
        </w:rPr>
        <w:t>To put the point more simply: Parliament did not intend to confer a right</w:t>
      </w:r>
      <w:r w:rsidR="00F80D8C">
        <w:rPr>
          <w:rFonts w:ascii="Times New Roman" w:hAnsi="Times New Roman" w:cs="Times New Roman"/>
        </w:rPr>
        <w:t xml:space="preserve"> </w:t>
      </w:r>
      <w:r w:rsidRPr="00CC03AF">
        <w:rPr>
          <w:rFonts w:ascii="Times New Roman" w:hAnsi="Times New Roman" w:cs="Times New Roman"/>
        </w:rPr>
        <w:t>under Part V of the 1996 Act for the protection of whistleblowers in</w:t>
      </w:r>
      <w:r w:rsidR="00F80D8C">
        <w:rPr>
          <w:rFonts w:ascii="Times New Roman" w:hAnsi="Times New Roman" w:cs="Times New Roman"/>
        </w:rPr>
        <w:t xml:space="preserve"> </w:t>
      </w:r>
      <w:r w:rsidRPr="00CC03AF">
        <w:rPr>
          <w:rFonts w:ascii="Times New Roman" w:hAnsi="Times New Roman" w:cs="Times New Roman"/>
        </w:rPr>
        <w:t>circumstances where the worker (being an employee) would have a right</w:t>
      </w:r>
      <w:r w:rsidR="00F80D8C">
        <w:rPr>
          <w:rFonts w:ascii="Times New Roman" w:hAnsi="Times New Roman" w:cs="Times New Roman"/>
        </w:rPr>
        <w:t xml:space="preserve"> </w:t>
      </w:r>
      <w:r w:rsidRPr="00CC03AF">
        <w:rPr>
          <w:rFonts w:ascii="Times New Roman" w:hAnsi="Times New Roman" w:cs="Times New Roman"/>
        </w:rPr>
        <w:t>under Part X of that Act in relation to the same loss or detriment.</w:t>
      </w:r>
      <w:r w:rsidR="00F80D8C">
        <w:rPr>
          <w:rFonts w:ascii="Times New Roman" w:hAnsi="Times New Roman" w:cs="Times New Roman"/>
        </w:rPr>
        <w:t>”</w:t>
      </w:r>
    </w:p>
    <w:p w14:paraId="7E11704A" w14:textId="60B1B582"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Where compensation is awarded under Part X, it is limited to losses sustained in consequence of the </w:t>
      </w:r>
      <w:r w:rsidRPr="00204BE4">
        <w:rPr>
          <w:rFonts w:asciiTheme="majorBidi" w:hAnsiTheme="majorBidi" w:cstheme="majorBidi"/>
        </w:rPr>
        <w:t>dismissal</w:t>
      </w:r>
      <w:r>
        <w:rPr>
          <w:rFonts w:ascii="Times New Roman" w:hAnsi="Times New Roman" w:cs="Times New Roman"/>
        </w:rPr>
        <w:t xml:space="preserve"> and would not include compensation for loss suffered before the dismissal. It was important to keep that feature in mind when considering the relationship between the two remedial schemes (paragraph 21). </w:t>
      </w:r>
    </w:p>
    <w:p w14:paraId="7E0DD013" w14:textId="5A8EC3BD" w:rsidR="00876D67" w:rsidRDefault="003B2BE9"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In that case, t</w:t>
      </w:r>
      <w:r w:rsidR="00876D67">
        <w:rPr>
          <w:rFonts w:ascii="Times New Roman" w:hAnsi="Times New Roman" w:cs="Times New Roman"/>
        </w:rPr>
        <w:t>he claimant’s main argument was that</w:t>
      </w:r>
      <w:r w:rsidR="008879BA">
        <w:rPr>
          <w:rFonts w:ascii="Times New Roman" w:hAnsi="Times New Roman" w:cs="Times New Roman"/>
        </w:rPr>
        <w:t>,</w:t>
      </w:r>
      <w:r w:rsidR="00876D67">
        <w:rPr>
          <w:rFonts w:ascii="Times New Roman" w:hAnsi="Times New Roman" w:cs="Times New Roman"/>
        </w:rPr>
        <w:t xml:space="preserve"> to the extent that he had not been compensated for a loss under Part X, compensation should be available under Part V. He accepted that if the loss could be compensated under Part X, he could not be compensated under Part V. Loss suffered before the dismissal was not taken out of section 47B and Part V by the limitation in section 47B(2) (paragraph 32).</w:t>
      </w:r>
    </w:p>
    <w:p w14:paraId="7D3D3D5B" w14:textId="5F1023F4" w:rsidR="0088171C"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lastRenderedPageBreak/>
        <w:t xml:space="preserve">Chadwick LJ accepted </w:t>
      </w:r>
      <w:r w:rsidR="00F80D8F">
        <w:rPr>
          <w:rFonts w:ascii="Times New Roman" w:hAnsi="Times New Roman" w:cs="Times New Roman"/>
        </w:rPr>
        <w:t>that</w:t>
      </w:r>
      <w:r>
        <w:rPr>
          <w:rFonts w:ascii="Times New Roman" w:hAnsi="Times New Roman" w:cs="Times New Roman"/>
        </w:rPr>
        <w:t xml:space="preserve"> submission. When the two sections were read together, </w:t>
      </w:r>
      <w:r w:rsidR="00F80D8F">
        <w:rPr>
          <w:rFonts w:ascii="Times New Roman" w:hAnsi="Times New Roman" w:cs="Times New Roman"/>
        </w:rPr>
        <w:t>“</w:t>
      </w:r>
      <w:r>
        <w:rPr>
          <w:rFonts w:ascii="Times New Roman" w:hAnsi="Times New Roman" w:cs="Times New Roman"/>
        </w:rPr>
        <w:t xml:space="preserve">the proper meaning to </w:t>
      </w:r>
      <w:r w:rsidRPr="00204BE4">
        <w:rPr>
          <w:rFonts w:asciiTheme="majorBidi" w:hAnsiTheme="majorBidi" w:cstheme="majorBidi"/>
        </w:rPr>
        <w:t>be</w:t>
      </w:r>
      <w:r>
        <w:rPr>
          <w:rFonts w:ascii="Times New Roman" w:hAnsi="Times New Roman" w:cs="Times New Roman"/>
        </w:rPr>
        <w:t xml:space="preserve"> given to the phrase </w:t>
      </w:r>
      <w:r w:rsidR="00796505">
        <w:rPr>
          <w:rFonts w:ascii="Times New Roman" w:hAnsi="Times New Roman" w:cs="Times New Roman"/>
        </w:rPr>
        <w:t>‘</w:t>
      </w:r>
      <w:r>
        <w:rPr>
          <w:rFonts w:ascii="Times New Roman" w:hAnsi="Times New Roman" w:cs="Times New Roman"/>
        </w:rPr>
        <w:t>the detriment in question amounts to dismissal</w:t>
      </w:r>
      <w:r w:rsidR="00796505">
        <w:rPr>
          <w:rFonts w:ascii="Times New Roman" w:hAnsi="Times New Roman" w:cs="Times New Roman"/>
        </w:rPr>
        <w:t>’</w:t>
      </w:r>
      <w:r>
        <w:rPr>
          <w:rFonts w:ascii="Times New Roman" w:hAnsi="Times New Roman" w:cs="Times New Roman"/>
        </w:rPr>
        <w:t xml:space="preserve"> is that it excludes detriment which can be compensated under the unfair dismissal provisions. If the detriment cannot be compensated under the unfair dismissal provisions </w:t>
      </w:r>
      <w:r w:rsidR="00F80D8F">
        <w:rPr>
          <w:rFonts w:ascii="Times New Roman" w:hAnsi="Times New Roman" w:cs="Times New Roman"/>
        </w:rPr>
        <w:t>–</w:t>
      </w:r>
      <w:r>
        <w:rPr>
          <w:rFonts w:ascii="Times New Roman" w:hAnsi="Times New Roman" w:cs="Times New Roman"/>
        </w:rPr>
        <w:t xml:space="preserve"> </w:t>
      </w:r>
      <w:r w:rsidR="005259C6">
        <w:rPr>
          <w:rFonts w:ascii="Times New Roman" w:hAnsi="Times New Roman" w:cs="Times New Roman"/>
        </w:rPr>
        <w:t>because</w:t>
      </w:r>
      <w:r>
        <w:rPr>
          <w:rFonts w:ascii="Times New Roman" w:hAnsi="Times New Roman" w:cs="Times New Roman"/>
        </w:rPr>
        <w:t xml:space="preserve"> it is not a loss sustained in consequence of the dismissal – then there is nothing to take it out of section 47B; and the provisions in section 49, which require compensation for that detriment, should apply</w:t>
      </w:r>
      <w:r w:rsidR="0088171C">
        <w:rPr>
          <w:rFonts w:ascii="Times New Roman" w:hAnsi="Times New Roman" w:cs="Times New Roman"/>
        </w:rPr>
        <w:t>”</w:t>
      </w:r>
      <w:r>
        <w:rPr>
          <w:rFonts w:ascii="Times New Roman" w:hAnsi="Times New Roman" w:cs="Times New Roman"/>
        </w:rPr>
        <w:t xml:space="preserve"> (paragraph 34). </w:t>
      </w:r>
    </w:p>
    <w:p w14:paraId="72F45938" w14:textId="7D9CA39A"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Whether or not we are bound by </w:t>
      </w:r>
      <w:r>
        <w:rPr>
          <w:rFonts w:ascii="Times New Roman" w:hAnsi="Times New Roman" w:cs="Times New Roman"/>
          <w:i/>
          <w:iCs/>
        </w:rPr>
        <w:t>Melia</w:t>
      </w:r>
      <w:r>
        <w:rPr>
          <w:rFonts w:ascii="Times New Roman" w:hAnsi="Times New Roman" w:cs="Times New Roman"/>
        </w:rPr>
        <w:t>, we agree with Chadwick LJ’s lucid analysis of the relationship between Parts V and X</w:t>
      </w:r>
      <w:r w:rsidR="0088171C">
        <w:rPr>
          <w:rFonts w:ascii="Times New Roman" w:hAnsi="Times New Roman" w:cs="Times New Roman"/>
        </w:rPr>
        <w:t xml:space="preserve"> of the 1996 Act</w:t>
      </w:r>
      <w:r>
        <w:rPr>
          <w:rFonts w:ascii="Times New Roman" w:hAnsi="Times New Roman" w:cs="Times New Roman"/>
        </w:rPr>
        <w:t>.</w:t>
      </w:r>
    </w:p>
    <w:p w14:paraId="230F9DF9" w14:textId="77777777" w:rsidR="00876D67" w:rsidRPr="00BA007C" w:rsidRDefault="00876D67" w:rsidP="00AC2BC7">
      <w:pPr>
        <w:spacing w:before="120" w:after="360"/>
        <w:jc w:val="both"/>
      </w:pPr>
      <w:proofErr w:type="spellStart"/>
      <w:r>
        <w:rPr>
          <w:i/>
          <w:iCs/>
        </w:rPr>
        <w:t>Fecitt</w:t>
      </w:r>
      <w:proofErr w:type="spellEnd"/>
      <w:r>
        <w:rPr>
          <w:i/>
          <w:iCs/>
        </w:rPr>
        <w:t xml:space="preserve"> v NHS Manchester</w:t>
      </w:r>
    </w:p>
    <w:p w14:paraId="468034F2" w14:textId="77777777" w:rsidR="0017432C"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This court </w:t>
      </w:r>
      <w:r w:rsidR="003A015B">
        <w:rPr>
          <w:rFonts w:ascii="Times New Roman" w:hAnsi="Times New Roman" w:cs="Times New Roman"/>
        </w:rPr>
        <w:t xml:space="preserve">again </w:t>
      </w:r>
      <w:r>
        <w:rPr>
          <w:rFonts w:ascii="Times New Roman" w:hAnsi="Times New Roman" w:cs="Times New Roman"/>
        </w:rPr>
        <w:t xml:space="preserve">considered the scope of section 47B as it </w:t>
      </w:r>
      <w:r w:rsidR="00395E20">
        <w:rPr>
          <w:rFonts w:ascii="Times New Roman" w:hAnsi="Times New Roman" w:cs="Times New Roman"/>
        </w:rPr>
        <w:t xml:space="preserve">then </w:t>
      </w:r>
      <w:r>
        <w:rPr>
          <w:rFonts w:ascii="Times New Roman" w:hAnsi="Times New Roman" w:cs="Times New Roman"/>
        </w:rPr>
        <w:t xml:space="preserve">stood in </w:t>
      </w:r>
      <w:proofErr w:type="spellStart"/>
      <w:r>
        <w:rPr>
          <w:rFonts w:ascii="Times New Roman" w:hAnsi="Times New Roman" w:cs="Times New Roman"/>
          <w:i/>
          <w:iCs/>
        </w:rPr>
        <w:t>Fecitt</w:t>
      </w:r>
      <w:proofErr w:type="spellEnd"/>
      <w:r>
        <w:rPr>
          <w:rFonts w:ascii="Times New Roman" w:hAnsi="Times New Roman" w:cs="Times New Roman"/>
          <w:i/>
          <w:iCs/>
        </w:rPr>
        <w:t xml:space="preserve"> v NHS Manchester </w:t>
      </w:r>
      <w:r>
        <w:rPr>
          <w:rFonts w:ascii="Times New Roman" w:hAnsi="Times New Roman" w:cs="Times New Roman"/>
        </w:rPr>
        <w:t xml:space="preserve">[2012] EWCA </w:t>
      </w:r>
      <w:proofErr w:type="spellStart"/>
      <w:r>
        <w:rPr>
          <w:rFonts w:ascii="Times New Roman" w:hAnsi="Times New Roman" w:cs="Times New Roman"/>
        </w:rPr>
        <w:t>Civ</w:t>
      </w:r>
      <w:proofErr w:type="spellEnd"/>
      <w:r>
        <w:rPr>
          <w:rFonts w:ascii="Times New Roman" w:hAnsi="Times New Roman" w:cs="Times New Roman"/>
        </w:rPr>
        <w:t xml:space="preserve"> 1190; [2012] ICR 372. The three claimants were nurses. They told their manager that they doubted the qualifications of a colleague. Their concerns were well-founded, but </w:t>
      </w:r>
      <w:r w:rsidRPr="00204BE4">
        <w:rPr>
          <w:rFonts w:asciiTheme="majorBidi" w:hAnsiTheme="majorBidi" w:cstheme="majorBidi"/>
        </w:rPr>
        <w:t>their</w:t>
      </w:r>
      <w:r>
        <w:rPr>
          <w:rFonts w:ascii="Times New Roman" w:hAnsi="Times New Roman" w:cs="Times New Roman"/>
        </w:rPr>
        <w:t xml:space="preserve"> employer decided to do nothing</w:t>
      </w:r>
      <w:r w:rsidR="003A015B">
        <w:rPr>
          <w:rFonts w:ascii="Times New Roman" w:hAnsi="Times New Roman" w:cs="Times New Roman"/>
        </w:rPr>
        <w:t>.</w:t>
      </w:r>
      <w:r>
        <w:rPr>
          <w:rFonts w:ascii="Times New Roman" w:hAnsi="Times New Roman" w:cs="Times New Roman"/>
        </w:rPr>
        <w:t xml:space="preserve"> Relations between staff deteriorated. Some of the staff felt that the claimants were subjecting </w:t>
      </w:r>
      <w:r w:rsidR="003E67F9">
        <w:rPr>
          <w:rFonts w:ascii="Times New Roman" w:hAnsi="Times New Roman" w:cs="Times New Roman"/>
        </w:rPr>
        <w:t>the colleague</w:t>
      </w:r>
      <w:r>
        <w:rPr>
          <w:rFonts w:ascii="Times New Roman" w:hAnsi="Times New Roman" w:cs="Times New Roman"/>
        </w:rPr>
        <w:t xml:space="preserve"> to a ‘witch hunt’. Their employer acknowledged that the claimants had acted </w:t>
      </w:r>
      <w:proofErr w:type="gramStart"/>
      <w:r>
        <w:rPr>
          <w:rFonts w:ascii="Times New Roman" w:hAnsi="Times New Roman" w:cs="Times New Roman"/>
        </w:rPr>
        <w:t>properly, but</w:t>
      </w:r>
      <w:proofErr w:type="gramEnd"/>
      <w:r>
        <w:rPr>
          <w:rFonts w:ascii="Times New Roman" w:hAnsi="Times New Roman" w:cs="Times New Roman"/>
        </w:rPr>
        <w:t xml:space="preserve"> moved two of them to different jobs and decided to give no more work to the third, who was a bank nurse. </w:t>
      </w:r>
    </w:p>
    <w:p w14:paraId="6F6AE930" w14:textId="77777777" w:rsidR="004F21C1"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4F21C1">
        <w:rPr>
          <w:rFonts w:ascii="Times New Roman" w:hAnsi="Times New Roman" w:cs="Times New Roman"/>
        </w:rPr>
        <w:t xml:space="preserve">The </w:t>
      </w:r>
      <w:r w:rsidR="0017432C" w:rsidRPr="004F21C1">
        <w:rPr>
          <w:rFonts w:ascii="Times New Roman" w:hAnsi="Times New Roman" w:cs="Times New Roman"/>
        </w:rPr>
        <w:t xml:space="preserve">claimants </w:t>
      </w:r>
      <w:r w:rsidRPr="004F21C1">
        <w:rPr>
          <w:rFonts w:ascii="Times New Roman" w:hAnsi="Times New Roman" w:cs="Times New Roman"/>
        </w:rPr>
        <w:t xml:space="preserve">made claims </w:t>
      </w:r>
      <w:r w:rsidR="0017432C" w:rsidRPr="004F21C1">
        <w:rPr>
          <w:rFonts w:ascii="Times New Roman" w:hAnsi="Times New Roman" w:cs="Times New Roman"/>
        </w:rPr>
        <w:t>to</w:t>
      </w:r>
      <w:r w:rsidRPr="004F21C1">
        <w:rPr>
          <w:rFonts w:ascii="Times New Roman" w:hAnsi="Times New Roman" w:cs="Times New Roman"/>
        </w:rPr>
        <w:t xml:space="preserve"> the ET, relying on section 47B, and their disclosure about the qualifications of the other member of staff. Part of their complaint was that other employees had been </w:t>
      </w:r>
      <w:r w:rsidRPr="004F21C1">
        <w:rPr>
          <w:rFonts w:asciiTheme="majorBidi" w:hAnsiTheme="majorBidi" w:cstheme="majorBidi"/>
        </w:rPr>
        <w:t>unpleasant</w:t>
      </w:r>
      <w:r w:rsidRPr="004F21C1">
        <w:rPr>
          <w:rFonts w:ascii="Times New Roman" w:hAnsi="Times New Roman" w:cs="Times New Roman"/>
        </w:rPr>
        <w:t xml:space="preserve"> to them because of their disclosure, and that the employer was vicariously liable for the conduct of those employees. The ET found that they had been subjected to unpleasant conduct </w:t>
      </w:r>
      <w:proofErr w:type="gramStart"/>
      <w:r w:rsidRPr="004F21C1">
        <w:rPr>
          <w:rFonts w:ascii="Times New Roman" w:hAnsi="Times New Roman" w:cs="Times New Roman"/>
        </w:rPr>
        <w:t>as a result of</w:t>
      </w:r>
      <w:proofErr w:type="gramEnd"/>
      <w:r w:rsidRPr="004F21C1">
        <w:rPr>
          <w:rFonts w:ascii="Times New Roman" w:hAnsi="Times New Roman" w:cs="Times New Roman"/>
        </w:rPr>
        <w:t xml:space="preserve"> the disclosure and that the employer could have done more to stop the conduct. It also held that the failure to protect the claimants was not because of the disclosure, and the move to different jobs and the decision to give no further work to the bank nurse were the only feasible ways to resolve problems in the workplace.</w:t>
      </w:r>
      <w:r w:rsidR="004F21C1" w:rsidRPr="004F21C1">
        <w:rPr>
          <w:rFonts w:ascii="Times New Roman" w:hAnsi="Times New Roman" w:cs="Times New Roman"/>
        </w:rPr>
        <w:t xml:space="preserve"> </w:t>
      </w:r>
      <w:r w:rsidRPr="004F21C1">
        <w:rPr>
          <w:rFonts w:ascii="Times New Roman" w:hAnsi="Times New Roman" w:cs="Times New Roman"/>
        </w:rPr>
        <w:t xml:space="preserve">The EAT allowed the claimants’ appeal. It held that the employer could be vicariously liable for acts of victimisation by fellow employees, and that the ET had failed to deal with this. </w:t>
      </w:r>
    </w:p>
    <w:p w14:paraId="7D685A9B" w14:textId="55E04718" w:rsidR="00876D67" w:rsidRPr="000D4AF4"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0D4AF4">
        <w:rPr>
          <w:rFonts w:ascii="Times New Roman" w:hAnsi="Times New Roman" w:cs="Times New Roman"/>
        </w:rPr>
        <w:t xml:space="preserve">The employer appealed on two grounds. The first was that the EAT had erred in law in holding that an employer could in principle be liable for acts of victimisation when the claimants had committed no legal wrong. </w:t>
      </w:r>
      <w:r w:rsidR="00C46232" w:rsidRPr="000D4AF4">
        <w:rPr>
          <w:rFonts w:ascii="Times New Roman" w:hAnsi="Times New Roman" w:cs="Times New Roman"/>
        </w:rPr>
        <w:t xml:space="preserve">This court (Elias LJ, with </w:t>
      </w:r>
      <w:r w:rsidR="00125581">
        <w:rPr>
          <w:rFonts w:ascii="Times New Roman" w:hAnsi="Times New Roman" w:cs="Times New Roman"/>
        </w:rPr>
        <w:t>whom</w:t>
      </w:r>
      <w:r w:rsidR="00125581" w:rsidRPr="000D4AF4">
        <w:rPr>
          <w:rFonts w:ascii="Times New Roman" w:hAnsi="Times New Roman" w:cs="Times New Roman"/>
        </w:rPr>
        <w:t xml:space="preserve"> </w:t>
      </w:r>
      <w:r w:rsidR="00C46232" w:rsidRPr="000D4AF4">
        <w:rPr>
          <w:rFonts w:ascii="Times New Roman" w:hAnsi="Times New Roman" w:cs="Times New Roman"/>
        </w:rPr>
        <w:t xml:space="preserve">Mummery LJ and Davis LJ agreed), allowed the employer’s appeal on both grounds. </w:t>
      </w:r>
      <w:r w:rsidR="00035504" w:rsidRPr="000D4AF4">
        <w:rPr>
          <w:rFonts w:ascii="Times New Roman" w:hAnsi="Times New Roman" w:cs="Times New Roman"/>
        </w:rPr>
        <w:t>Elias LJ</w:t>
      </w:r>
      <w:r w:rsidRPr="000D4AF4">
        <w:rPr>
          <w:rFonts w:ascii="Times New Roman" w:hAnsi="Times New Roman" w:cs="Times New Roman"/>
        </w:rPr>
        <w:t xml:space="preserve"> dealt shortly with first ground. He referred to a decision of the House of Lords in which it </w:t>
      </w:r>
      <w:r w:rsidR="00BD3B1A" w:rsidRPr="000D4AF4">
        <w:rPr>
          <w:rFonts w:ascii="Times New Roman" w:hAnsi="Times New Roman" w:cs="Times New Roman"/>
        </w:rPr>
        <w:t>“</w:t>
      </w:r>
      <w:r w:rsidRPr="000D4AF4">
        <w:rPr>
          <w:rFonts w:ascii="Times New Roman" w:hAnsi="Times New Roman" w:cs="Times New Roman"/>
        </w:rPr>
        <w:t>unambiguously held that an employer can be vicariously liable only for the legal wrongs of its employees</w:t>
      </w:r>
      <w:r w:rsidR="00BD3B1A" w:rsidRPr="000D4AF4">
        <w:rPr>
          <w:rFonts w:ascii="Times New Roman" w:hAnsi="Times New Roman" w:cs="Times New Roman"/>
        </w:rPr>
        <w:t>”</w:t>
      </w:r>
      <w:r w:rsidRPr="000D4AF4">
        <w:rPr>
          <w:rFonts w:ascii="Times New Roman" w:hAnsi="Times New Roman" w:cs="Times New Roman"/>
        </w:rPr>
        <w:t xml:space="preserve"> (paragraph 32). He added, in </w:t>
      </w:r>
      <w:r w:rsidR="00A80653" w:rsidRPr="000D4AF4">
        <w:rPr>
          <w:rFonts w:ascii="Times New Roman" w:hAnsi="Times New Roman" w:cs="Times New Roman"/>
        </w:rPr>
        <w:t xml:space="preserve">the following </w:t>
      </w:r>
      <w:r w:rsidRPr="000D4AF4">
        <w:rPr>
          <w:rFonts w:ascii="Times New Roman" w:hAnsi="Times New Roman" w:cs="Times New Roman"/>
        </w:rPr>
        <w:t xml:space="preserve">paragraph, </w:t>
      </w:r>
      <w:r w:rsidR="00A80653" w:rsidRPr="000D4AF4">
        <w:rPr>
          <w:rFonts w:ascii="Times New Roman" w:hAnsi="Times New Roman" w:cs="Times New Roman"/>
        </w:rPr>
        <w:t>“</w:t>
      </w:r>
      <w:r w:rsidRPr="000D4AF4">
        <w:rPr>
          <w:rFonts w:ascii="Times New Roman" w:hAnsi="Times New Roman" w:cs="Times New Roman"/>
        </w:rPr>
        <w:t>Absent any legal wrong by the employee, there is no room for the doctrine to operate</w:t>
      </w:r>
      <w:r w:rsidR="00A80653" w:rsidRPr="000D4AF4">
        <w:rPr>
          <w:rFonts w:ascii="Times New Roman" w:hAnsi="Times New Roman" w:cs="Times New Roman"/>
        </w:rPr>
        <w:t>”</w:t>
      </w:r>
      <w:r w:rsidRPr="000D4AF4">
        <w:rPr>
          <w:rFonts w:ascii="Times New Roman" w:hAnsi="Times New Roman" w:cs="Times New Roman"/>
        </w:rPr>
        <w:t>. He drew a contrast with the discrimination legislation, under which a person may be personally liable for their acts of victimisation. There was no provision making it unlawful for worker</w:t>
      </w:r>
      <w:r w:rsidR="00D26D01" w:rsidRPr="000D4AF4">
        <w:rPr>
          <w:rFonts w:ascii="Times New Roman" w:hAnsi="Times New Roman" w:cs="Times New Roman"/>
        </w:rPr>
        <w:t>s</w:t>
      </w:r>
      <w:r w:rsidRPr="000D4AF4">
        <w:rPr>
          <w:rFonts w:ascii="Times New Roman" w:hAnsi="Times New Roman" w:cs="Times New Roman"/>
        </w:rPr>
        <w:t xml:space="preserve"> to victimise whistleblowers. The claim could not therefore succeed.</w:t>
      </w:r>
    </w:p>
    <w:p w14:paraId="2768D669" w14:textId="62D1BF9F" w:rsidR="00876D67" w:rsidRPr="00197610" w:rsidRDefault="00876D67" w:rsidP="00AC2BC7">
      <w:pPr>
        <w:spacing w:before="120" w:after="360"/>
        <w:jc w:val="both"/>
        <w:rPr>
          <w:i/>
          <w:iCs/>
        </w:rPr>
      </w:pPr>
      <w:r>
        <w:rPr>
          <w:i/>
          <w:iCs/>
        </w:rPr>
        <w:t>The 2013 amendments to section 47B</w:t>
      </w:r>
    </w:p>
    <w:p w14:paraId="7BF63569" w14:textId="6398B40B"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lastRenderedPageBreak/>
        <w:t xml:space="preserve">It is common ground that section 47B was amended </w:t>
      </w:r>
      <w:r w:rsidRPr="00FB2DDE">
        <w:rPr>
          <w:rFonts w:ascii="Times New Roman" w:hAnsi="Times New Roman" w:cs="Times New Roman"/>
        </w:rPr>
        <w:t xml:space="preserve">by </w:t>
      </w:r>
      <w:r w:rsidR="00211DFF" w:rsidRPr="00FB2DDE">
        <w:rPr>
          <w:rFonts w:ascii="Times New Roman" w:hAnsi="Times New Roman" w:cs="Times New Roman"/>
        </w:rPr>
        <w:t xml:space="preserve">the 2013 Act </w:t>
      </w:r>
      <w:r w:rsidRPr="00FB2DDE">
        <w:rPr>
          <w:rFonts w:ascii="Times New Roman" w:hAnsi="Times New Roman" w:cs="Times New Roman"/>
        </w:rPr>
        <w:t xml:space="preserve">in </w:t>
      </w:r>
      <w:r>
        <w:rPr>
          <w:rFonts w:ascii="Times New Roman" w:hAnsi="Times New Roman" w:cs="Times New Roman"/>
        </w:rPr>
        <w:t xml:space="preserve">response to the decision in </w:t>
      </w:r>
      <w:proofErr w:type="spellStart"/>
      <w:r>
        <w:rPr>
          <w:rFonts w:ascii="Times New Roman" w:hAnsi="Times New Roman" w:cs="Times New Roman"/>
          <w:i/>
          <w:iCs/>
        </w:rPr>
        <w:t>Fecitt</w:t>
      </w:r>
      <w:proofErr w:type="spellEnd"/>
      <w:r w:rsidR="00462FE8">
        <w:rPr>
          <w:rFonts w:ascii="Times New Roman" w:hAnsi="Times New Roman" w:cs="Times New Roman"/>
        </w:rPr>
        <w:t xml:space="preserve">. </w:t>
      </w:r>
      <w:r>
        <w:rPr>
          <w:rFonts w:ascii="Times New Roman" w:hAnsi="Times New Roman" w:cs="Times New Roman"/>
        </w:rPr>
        <w:t>The purpose of the amendments was to make employees and agents of an employer liable for their acts of victimisation against a co-worker, and to make the employer vicariously liable for such acts. Section 19 of the 2013 Act is headed ‘Worker subjected to detriment by co-worker or agent of employer’. Section 19(1) inserts subsections (1A)-(1E) in section 47B of the 1996 Act. Section 19(2) inserts words in</w:t>
      </w:r>
      <w:r w:rsidR="00A80653">
        <w:rPr>
          <w:rFonts w:ascii="Times New Roman" w:hAnsi="Times New Roman" w:cs="Times New Roman"/>
        </w:rPr>
        <w:t>to</w:t>
      </w:r>
      <w:r>
        <w:rPr>
          <w:rFonts w:ascii="Times New Roman" w:hAnsi="Times New Roman" w:cs="Times New Roman"/>
        </w:rPr>
        <w:t xml:space="preserve"> section 48(5) of the 1996 Act (which deals with complaints to ETs) to make clear that in section 48 and in section 49, any reference to the employer includes, in the case of proceedings against a worker or agent under section 47B(1A), the worker or agent. Section 47B(2) was not amended by the 2013 </w:t>
      </w:r>
      <w:proofErr w:type="gramStart"/>
      <w:r>
        <w:rPr>
          <w:rFonts w:ascii="Times New Roman" w:hAnsi="Times New Roman" w:cs="Times New Roman"/>
        </w:rPr>
        <w:t>Act, and</w:t>
      </w:r>
      <w:proofErr w:type="gramEnd"/>
      <w:r>
        <w:rPr>
          <w:rFonts w:ascii="Times New Roman" w:hAnsi="Times New Roman" w:cs="Times New Roman"/>
        </w:rPr>
        <w:t xml:space="preserve"> has not been amended since.</w:t>
      </w:r>
    </w:p>
    <w:p w14:paraId="02E47E2F" w14:textId="77777777" w:rsidR="001D17F1" w:rsidRPr="00F67553" w:rsidRDefault="00787633" w:rsidP="00AC2BC7">
      <w:pPr>
        <w:spacing w:before="120" w:after="360"/>
        <w:jc w:val="both"/>
        <w:rPr>
          <w:i/>
          <w:iCs/>
        </w:rPr>
      </w:pPr>
      <w:r w:rsidRPr="00A15004">
        <w:rPr>
          <w:b/>
          <w:bCs/>
          <w:u w:val="single"/>
        </w:rPr>
        <w:t xml:space="preserve">4. </w:t>
      </w:r>
      <w:r w:rsidR="001D17F1" w:rsidRPr="001D17F1">
        <w:rPr>
          <w:b/>
          <w:bCs/>
          <w:u w:val="single"/>
        </w:rPr>
        <w:t xml:space="preserve">The decision in </w:t>
      </w:r>
      <w:r w:rsidR="001D17F1" w:rsidRPr="001D17F1">
        <w:rPr>
          <w:b/>
          <w:bCs/>
          <w:i/>
          <w:iCs/>
          <w:u w:val="single"/>
        </w:rPr>
        <w:t>Osipov</w:t>
      </w:r>
    </w:p>
    <w:p w14:paraId="0FBB4ABD" w14:textId="0671C8E0" w:rsidR="00827B27" w:rsidRDefault="005F688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This recent decision of this court (Underhill LJ</w:t>
      </w:r>
      <w:r w:rsidR="00F67C1D">
        <w:rPr>
          <w:rFonts w:ascii="Times New Roman" w:hAnsi="Times New Roman" w:cs="Times New Roman"/>
        </w:rPr>
        <w:t>,</w:t>
      </w:r>
      <w:r>
        <w:rPr>
          <w:rFonts w:ascii="Times New Roman" w:hAnsi="Times New Roman" w:cs="Times New Roman"/>
        </w:rPr>
        <w:t xml:space="preserve"> </w:t>
      </w:r>
      <w:r w:rsidR="00F67C1D">
        <w:rPr>
          <w:rFonts w:ascii="Times New Roman" w:hAnsi="Times New Roman" w:cs="Times New Roman"/>
        </w:rPr>
        <w:t>with whom Rafferty LJ and Sales LJ agreed) directly con</w:t>
      </w:r>
      <w:r w:rsidR="008D3B1E">
        <w:rPr>
          <w:rFonts w:ascii="Times New Roman" w:hAnsi="Times New Roman" w:cs="Times New Roman"/>
        </w:rPr>
        <w:t>ce</w:t>
      </w:r>
      <w:r w:rsidR="00371E7D">
        <w:rPr>
          <w:rFonts w:ascii="Times New Roman" w:hAnsi="Times New Roman" w:cs="Times New Roman"/>
        </w:rPr>
        <w:t>rned</w:t>
      </w:r>
      <w:r w:rsidR="00F67C1D">
        <w:rPr>
          <w:rFonts w:ascii="Times New Roman" w:hAnsi="Times New Roman" w:cs="Times New Roman"/>
        </w:rPr>
        <w:t xml:space="preserve"> </w:t>
      </w:r>
      <w:r w:rsidR="00827B27">
        <w:rPr>
          <w:rFonts w:ascii="Times New Roman" w:hAnsi="Times New Roman" w:cs="Times New Roman"/>
        </w:rPr>
        <w:t>the reach of section 47B(2).</w:t>
      </w:r>
    </w:p>
    <w:p w14:paraId="1AAD1334" w14:textId="77BE255B" w:rsidR="00EA4D5F" w:rsidRDefault="00827B2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The c</w:t>
      </w:r>
      <w:r w:rsidR="00876D67">
        <w:rPr>
          <w:rFonts w:ascii="Times New Roman" w:hAnsi="Times New Roman" w:cs="Times New Roman"/>
        </w:rPr>
        <w:t>laimant, Mr Osipov</w:t>
      </w:r>
      <w:r>
        <w:rPr>
          <w:rFonts w:ascii="Times New Roman" w:hAnsi="Times New Roman" w:cs="Times New Roman"/>
        </w:rPr>
        <w:t xml:space="preserve"> </w:t>
      </w:r>
      <w:r w:rsidR="00876D67">
        <w:rPr>
          <w:rFonts w:ascii="Times New Roman" w:hAnsi="Times New Roman" w:cs="Times New Roman"/>
        </w:rPr>
        <w:t>was employed as the CEO of IPL</w:t>
      </w:r>
      <w:r w:rsidR="00BB4B0F">
        <w:rPr>
          <w:rFonts w:ascii="Times New Roman" w:hAnsi="Times New Roman" w:cs="Times New Roman"/>
        </w:rPr>
        <w:t xml:space="preserve"> (R1)</w:t>
      </w:r>
      <w:r>
        <w:rPr>
          <w:rFonts w:ascii="Times New Roman" w:hAnsi="Times New Roman" w:cs="Times New Roman"/>
        </w:rPr>
        <w:t xml:space="preserve">. </w:t>
      </w:r>
      <w:r w:rsidR="00876D67">
        <w:rPr>
          <w:rFonts w:ascii="Times New Roman" w:hAnsi="Times New Roman" w:cs="Times New Roman"/>
        </w:rPr>
        <w:t>Mr Timis</w:t>
      </w:r>
      <w:r w:rsidR="00BB4B0F">
        <w:rPr>
          <w:rFonts w:ascii="Times New Roman" w:hAnsi="Times New Roman" w:cs="Times New Roman"/>
        </w:rPr>
        <w:t xml:space="preserve"> (R2)</w:t>
      </w:r>
      <w:r w:rsidR="00876D67">
        <w:rPr>
          <w:rFonts w:ascii="Times New Roman" w:hAnsi="Times New Roman" w:cs="Times New Roman"/>
        </w:rPr>
        <w:t xml:space="preserve"> was </w:t>
      </w:r>
      <w:r w:rsidR="008C062D">
        <w:rPr>
          <w:rFonts w:ascii="Times New Roman" w:hAnsi="Times New Roman" w:cs="Times New Roman"/>
        </w:rPr>
        <w:t xml:space="preserve">the </w:t>
      </w:r>
      <w:r w:rsidR="00876D67">
        <w:rPr>
          <w:rFonts w:ascii="Times New Roman" w:hAnsi="Times New Roman" w:cs="Times New Roman"/>
        </w:rPr>
        <w:t xml:space="preserve">largest individual shareholder and a director. Mr Sage </w:t>
      </w:r>
      <w:r w:rsidR="00BB4B0F">
        <w:rPr>
          <w:rFonts w:ascii="Times New Roman" w:hAnsi="Times New Roman" w:cs="Times New Roman"/>
        </w:rPr>
        <w:t xml:space="preserve">(R3) </w:t>
      </w:r>
      <w:r w:rsidR="00876D67">
        <w:rPr>
          <w:rFonts w:ascii="Times New Roman" w:hAnsi="Times New Roman" w:cs="Times New Roman"/>
        </w:rPr>
        <w:t>was the Chairman</w:t>
      </w:r>
      <w:r w:rsidR="008C062D">
        <w:rPr>
          <w:rFonts w:ascii="Times New Roman" w:hAnsi="Times New Roman" w:cs="Times New Roman"/>
        </w:rPr>
        <w:t>.</w:t>
      </w:r>
      <w:r w:rsidR="00E7399A">
        <w:rPr>
          <w:rFonts w:ascii="Times New Roman" w:hAnsi="Times New Roman" w:cs="Times New Roman"/>
        </w:rPr>
        <w:t xml:space="preserve"> </w:t>
      </w:r>
      <w:r w:rsidR="0001494C">
        <w:rPr>
          <w:rFonts w:ascii="Times New Roman" w:hAnsi="Times New Roman" w:cs="Times New Roman"/>
        </w:rPr>
        <w:t>R2</w:t>
      </w:r>
      <w:r w:rsidR="00E7399A">
        <w:rPr>
          <w:rFonts w:ascii="Times New Roman" w:hAnsi="Times New Roman" w:cs="Times New Roman"/>
        </w:rPr>
        <w:t xml:space="preserve"> d</w:t>
      </w:r>
      <w:r w:rsidR="00876D67">
        <w:rPr>
          <w:rFonts w:ascii="Times New Roman" w:hAnsi="Times New Roman" w:cs="Times New Roman"/>
        </w:rPr>
        <w:t xml:space="preserve">ecided that the claimant should be summarily dismissed. </w:t>
      </w:r>
      <w:r w:rsidR="0001494C">
        <w:rPr>
          <w:rFonts w:ascii="Times New Roman" w:hAnsi="Times New Roman" w:cs="Times New Roman"/>
        </w:rPr>
        <w:t>R3</w:t>
      </w:r>
      <w:r w:rsidR="00E7399A">
        <w:rPr>
          <w:rFonts w:ascii="Times New Roman" w:hAnsi="Times New Roman" w:cs="Times New Roman"/>
        </w:rPr>
        <w:t xml:space="preserve"> </w:t>
      </w:r>
      <w:proofErr w:type="gramStart"/>
      <w:r w:rsidR="00E7399A">
        <w:rPr>
          <w:rFonts w:ascii="Times New Roman" w:hAnsi="Times New Roman" w:cs="Times New Roman"/>
        </w:rPr>
        <w:t>agreed, and</w:t>
      </w:r>
      <w:proofErr w:type="gramEnd"/>
      <w:r w:rsidR="00E7399A">
        <w:rPr>
          <w:rFonts w:ascii="Times New Roman" w:hAnsi="Times New Roman" w:cs="Times New Roman"/>
        </w:rPr>
        <w:t xml:space="preserve"> </w:t>
      </w:r>
      <w:r w:rsidR="00876D67">
        <w:rPr>
          <w:rFonts w:ascii="Times New Roman" w:hAnsi="Times New Roman" w:cs="Times New Roman"/>
        </w:rPr>
        <w:t xml:space="preserve">dismissed the claimant by email. An ET found that the principal reason for the dismissal was that </w:t>
      </w:r>
      <w:r w:rsidR="00E7399A">
        <w:rPr>
          <w:rFonts w:ascii="Times New Roman" w:hAnsi="Times New Roman" w:cs="Times New Roman"/>
        </w:rPr>
        <w:t>t</w:t>
      </w:r>
      <w:r w:rsidR="00876D67">
        <w:rPr>
          <w:rFonts w:ascii="Times New Roman" w:hAnsi="Times New Roman" w:cs="Times New Roman"/>
        </w:rPr>
        <w:t xml:space="preserve">he </w:t>
      </w:r>
      <w:r w:rsidR="00E7399A">
        <w:rPr>
          <w:rFonts w:ascii="Times New Roman" w:hAnsi="Times New Roman" w:cs="Times New Roman"/>
        </w:rPr>
        <w:t xml:space="preserve">claimant </w:t>
      </w:r>
      <w:r w:rsidR="00876D67">
        <w:rPr>
          <w:rFonts w:ascii="Times New Roman" w:hAnsi="Times New Roman" w:cs="Times New Roman"/>
        </w:rPr>
        <w:t xml:space="preserve">had made protected disclosures; </w:t>
      </w:r>
      <w:proofErr w:type="gramStart"/>
      <w:r w:rsidR="00876D67">
        <w:rPr>
          <w:rFonts w:ascii="Times New Roman" w:hAnsi="Times New Roman" w:cs="Times New Roman"/>
        </w:rPr>
        <w:t>so</w:t>
      </w:r>
      <w:proofErr w:type="gramEnd"/>
      <w:r w:rsidR="00876D67">
        <w:rPr>
          <w:rFonts w:ascii="Times New Roman" w:hAnsi="Times New Roman" w:cs="Times New Roman"/>
        </w:rPr>
        <w:t xml:space="preserve"> his claim </w:t>
      </w:r>
      <w:r w:rsidR="00AB71A6">
        <w:rPr>
          <w:rFonts w:ascii="Times New Roman" w:hAnsi="Times New Roman" w:cs="Times New Roman"/>
        </w:rPr>
        <w:t xml:space="preserve">under section 103A </w:t>
      </w:r>
      <w:r w:rsidR="00876D67">
        <w:rPr>
          <w:rFonts w:ascii="Times New Roman" w:hAnsi="Times New Roman" w:cs="Times New Roman"/>
        </w:rPr>
        <w:t xml:space="preserve">that his dismissal by </w:t>
      </w:r>
      <w:r w:rsidR="0001494C">
        <w:rPr>
          <w:rFonts w:ascii="Times New Roman" w:hAnsi="Times New Roman" w:cs="Times New Roman"/>
        </w:rPr>
        <w:t>R1</w:t>
      </w:r>
      <w:r w:rsidR="00876D67">
        <w:rPr>
          <w:rFonts w:ascii="Times New Roman" w:hAnsi="Times New Roman" w:cs="Times New Roman"/>
        </w:rPr>
        <w:t xml:space="preserve"> was automatically unfair succeeded. </w:t>
      </w:r>
      <w:r w:rsidR="00B73717">
        <w:rPr>
          <w:rFonts w:ascii="Times New Roman" w:hAnsi="Times New Roman" w:cs="Times New Roman"/>
        </w:rPr>
        <w:t>The</w:t>
      </w:r>
      <w:r w:rsidR="00876D67">
        <w:rPr>
          <w:rFonts w:ascii="Times New Roman" w:hAnsi="Times New Roman" w:cs="Times New Roman"/>
        </w:rPr>
        <w:t xml:space="preserve"> ET also held that R2 and R3 had subjected the claimant to a detriment or detriments contrary to section 47B and that they were jointly and severally liable with R1 to compensate him for his losses</w:t>
      </w:r>
      <w:r w:rsidR="005A2E35">
        <w:rPr>
          <w:rFonts w:ascii="Times New Roman" w:hAnsi="Times New Roman" w:cs="Times New Roman"/>
        </w:rPr>
        <w:t>, amounting to over £2m</w:t>
      </w:r>
      <w:r w:rsidR="00876D67">
        <w:rPr>
          <w:rFonts w:ascii="Times New Roman" w:hAnsi="Times New Roman" w:cs="Times New Roman"/>
        </w:rPr>
        <w:t xml:space="preserve">. </w:t>
      </w:r>
      <w:r w:rsidR="001E5EFF">
        <w:rPr>
          <w:rFonts w:ascii="Times New Roman" w:hAnsi="Times New Roman" w:cs="Times New Roman"/>
        </w:rPr>
        <w:t>The detriments included instructions or recommendations given by R2 and R3 which culminated in the dismissal</w:t>
      </w:r>
      <w:r w:rsidR="00A70085">
        <w:rPr>
          <w:rFonts w:ascii="Times New Roman" w:hAnsi="Times New Roman" w:cs="Times New Roman"/>
        </w:rPr>
        <w:t xml:space="preserve"> (</w:t>
      </w:r>
      <w:r w:rsidR="002C47B9">
        <w:rPr>
          <w:rFonts w:ascii="Times New Roman" w:hAnsi="Times New Roman" w:cs="Times New Roman"/>
        </w:rPr>
        <w:t>referred to as ‘</w:t>
      </w:r>
      <w:r w:rsidR="00A70085">
        <w:rPr>
          <w:rFonts w:ascii="Times New Roman" w:hAnsi="Times New Roman" w:cs="Times New Roman"/>
        </w:rPr>
        <w:t>detriment (m)</w:t>
      </w:r>
      <w:r w:rsidR="002C47B9">
        <w:rPr>
          <w:rFonts w:ascii="Times New Roman" w:hAnsi="Times New Roman" w:cs="Times New Roman"/>
        </w:rPr>
        <w:t>’</w:t>
      </w:r>
      <w:r w:rsidR="00A70085">
        <w:rPr>
          <w:rFonts w:ascii="Times New Roman" w:hAnsi="Times New Roman" w:cs="Times New Roman"/>
        </w:rPr>
        <w:t>)</w:t>
      </w:r>
      <w:r w:rsidR="001E5EFF">
        <w:rPr>
          <w:rFonts w:ascii="Times New Roman" w:hAnsi="Times New Roman" w:cs="Times New Roman"/>
        </w:rPr>
        <w:t>.</w:t>
      </w:r>
      <w:r w:rsidR="00876D67">
        <w:rPr>
          <w:rFonts w:ascii="Times New Roman" w:hAnsi="Times New Roman" w:cs="Times New Roman"/>
        </w:rPr>
        <w:t xml:space="preserve"> </w:t>
      </w:r>
    </w:p>
    <w:p w14:paraId="73102624" w14:textId="76BFDC55" w:rsidR="007F04C6" w:rsidRDefault="009D5AF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T</w:t>
      </w:r>
      <w:r w:rsidR="007F04C6">
        <w:rPr>
          <w:rFonts w:ascii="Times New Roman" w:hAnsi="Times New Roman" w:cs="Times New Roman"/>
        </w:rPr>
        <w:t>he respondents appealed to t</w:t>
      </w:r>
      <w:r w:rsidR="00876D67">
        <w:rPr>
          <w:rFonts w:ascii="Times New Roman" w:hAnsi="Times New Roman" w:cs="Times New Roman"/>
        </w:rPr>
        <w:t>he EAT</w:t>
      </w:r>
      <w:r w:rsidR="00227B0F">
        <w:rPr>
          <w:rFonts w:ascii="Times New Roman" w:hAnsi="Times New Roman" w:cs="Times New Roman"/>
        </w:rPr>
        <w:t xml:space="preserve"> </w:t>
      </w:r>
      <w:r w:rsidR="00557BD4">
        <w:rPr>
          <w:rFonts w:ascii="Times New Roman" w:hAnsi="Times New Roman" w:cs="Times New Roman"/>
        </w:rPr>
        <w:t>(Simler P)</w:t>
      </w:r>
      <w:r w:rsidR="00227B0F">
        <w:rPr>
          <w:rFonts w:ascii="Times New Roman" w:hAnsi="Times New Roman" w:cs="Times New Roman"/>
        </w:rPr>
        <w:t xml:space="preserve">, and the claimant </w:t>
      </w:r>
      <w:r w:rsidR="003A124C">
        <w:rPr>
          <w:rFonts w:ascii="Times New Roman" w:hAnsi="Times New Roman" w:cs="Times New Roman"/>
        </w:rPr>
        <w:t>cross-appealed</w:t>
      </w:r>
      <w:r w:rsidR="00227B0F">
        <w:rPr>
          <w:rFonts w:ascii="Times New Roman" w:hAnsi="Times New Roman" w:cs="Times New Roman"/>
        </w:rPr>
        <w:t>.</w:t>
      </w:r>
      <w:r w:rsidR="00876D67">
        <w:rPr>
          <w:rFonts w:ascii="Times New Roman" w:hAnsi="Times New Roman" w:cs="Times New Roman"/>
        </w:rPr>
        <w:t xml:space="preserve"> </w:t>
      </w:r>
      <w:r w:rsidR="00227B0F">
        <w:rPr>
          <w:rFonts w:ascii="Times New Roman" w:hAnsi="Times New Roman" w:cs="Times New Roman"/>
        </w:rPr>
        <w:t xml:space="preserve">There were many issues. The </w:t>
      </w:r>
      <w:r w:rsidR="007F04C6">
        <w:rPr>
          <w:rFonts w:ascii="Times New Roman" w:hAnsi="Times New Roman" w:cs="Times New Roman"/>
        </w:rPr>
        <w:t>EAT dismissed R1’s appeal (save in one very minor respect). It also dismissed the appeals of R2 and R3 on all issues, except that it held that they could not be liable for the basic award for unfair dismissal (see section 219 of the 1996 Act)</w:t>
      </w:r>
      <w:r w:rsidR="003A124C">
        <w:rPr>
          <w:rFonts w:ascii="Times New Roman" w:hAnsi="Times New Roman" w:cs="Times New Roman"/>
        </w:rPr>
        <w:t xml:space="preserve"> as t</w:t>
      </w:r>
      <w:r w:rsidR="007F04C6">
        <w:rPr>
          <w:rFonts w:ascii="Times New Roman" w:hAnsi="Times New Roman" w:cs="Times New Roman"/>
        </w:rPr>
        <w:t xml:space="preserve">hat award can only be made against </w:t>
      </w:r>
      <w:r w:rsidR="002A58F3">
        <w:rPr>
          <w:rFonts w:ascii="Times New Roman" w:hAnsi="Times New Roman" w:cs="Times New Roman"/>
        </w:rPr>
        <w:t>“</w:t>
      </w:r>
      <w:r w:rsidR="007F04C6">
        <w:rPr>
          <w:rFonts w:ascii="Times New Roman" w:hAnsi="Times New Roman" w:cs="Times New Roman"/>
        </w:rPr>
        <w:t>a party liable for the dismissal”.</w:t>
      </w:r>
    </w:p>
    <w:p w14:paraId="61DD6B28" w14:textId="2E81FA93" w:rsidR="00084CC4" w:rsidRDefault="008B481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reasoning of the EAT was that </w:t>
      </w:r>
      <w:r w:rsidR="001F4A0F">
        <w:rPr>
          <w:rFonts w:ascii="Times New Roman" w:hAnsi="Times New Roman" w:cs="Times New Roman"/>
        </w:rPr>
        <w:t>the express purpose of the legislation was to protect whistleblowers. It was therefore appropriate to construe</w:t>
      </w:r>
      <w:r>
        <w:rPr>
          <w:rFonts w:ascii="Times New Roman" w:hAnsi="Times New Roman" w:cs="Times New Roman"/>
        </w:rPr>
        <w:t xml:space="preserve"> section 47B(2)</w:t>
      </w:r>
      <w:r w:rsidR="001F4A0F">
        <w:rPr>
          <w:rFonts w:ascii="Times New Roman" w:hAnsi="Times New Roman" w:cs="Times New Roman"/>
        </w:rPr>
        <w:t>, so far as it can properly be construed, to provide protection rather than deny it</w:t>
      </w:r>
      <w:r w:rsidR="00A832E8">
        <w:rPr>
          <w:rFonts w:ascii="Times New Roman" w:hAnsi="Times New Roman" w:cs="Times New Roman"/>
        </w:rPr>
        <w:t xml:space="preserve">. </w:t>
      </w:r>
      <w:r w:rsidR="001F4A0F">
        <w:rPr>
          <w:rFonts w:ascii="Times New Roman" w:hAnsi="Times New Roman" w:cs="Times New Roman"/>
        </w:rPr>
        <w:t>All the word</w:t>
      </w:r>
      <w:r w:rsidR="00A832E8">
        <w:rPr>
          <w:rFonts w:ascii="Times New Roman" w:hAnsi="Times New Roman" w:cs="Times New Roman"/>
        </w:rPr>
        <w:t>s,</w:t>
      </w:r>
      <w:r w:rsidR="00A832E8" w:rsidRPr="00A832E8">
        <w:rPr>
          <w:rFonts w:ascii="Times New Roman" w:hAnsi="Times New Roman" w:cs="Times New Roman"/>
        </w:rPr>
        <w:t xml:space="preserve"> </w:t>
      </w:r>
      <w:r w:rsidR="00A832E8">
        <w:rPr>
          <w:rFonts w:ascii="Times New Roman" w:hAnsi="Times New Roman" w:cs="Times New Roman"/>
        </w:rPr>
        <w:t xml:space="preserve">including those in brackets, </w:t>
      </w:r>
      <w:r w:rsidR="001F4A0F">
        <w:rPr>
          <w:rFonts w:ascii="Times New Roman" w:hAnsi="Times New Roman" w:cs="Times New Roman"/>
        </w:rPr>
        <w:t xml:space="preserve">must be construed </w:t>
      </w:r>
      <w:proofErr w:type="gramStart"/>
      <w:r w:rsidR="001F4A0F">
        <w:rPr>
          <w:rFonts w:ascii="Times New Roman" w:hAnsi="Times New Roman" w:cs="Times New Roman"/>
        </w:rPr>
        <w:t>in light of</w:t>
      </w:r>
      <w:proofErr w:type="gramEnd"/>
      <w:r w:rsidR="001F4A0F">
        <w:rPr>
          <w:rFonts w:ascii="Times New Roman" w:hAnsi="Times New Roman" w:cs="Times New Roman"/>
        </w:rPr>
        <w:t xml:space="preserve"> that intended purpose</w:t>
      </w:r>
      <w:r w:rsidR="00A832E8">
        <w:rPr>
          <w:rFonts w:ascii="Times New Roman" w:hAnsi="Times New Roman" w:cs="Times New Roman"/>
        </w:rPr>
        <w:t>. It did not exclude all claims for detriment amounting to a dismissal. Instead, it was limited to detriments amounting to dismissal within the meaning of Part X</w:t>
      </w:r>
      <w:r w:rsidR="00916712">
        <w:rPr>
          <w:rFonts w:ascii="Times New Roman" w:hAnsi="Times New Roman" w:cs="Times New Roman"/>
        </w:rPr>
        <w:t>,</w:t>
      </w:r>
      <w:r w:rsidR="00A832E8">
        <w:rPr>
          <w:rFonts w:ascii="Times New Roman" w:hAnsi="Times New Roman" w:cs="Times New Roman"/>
        </w:rPr>
        <w:t xml:space="preserve"> in other words to detriments amounting to unfair dismissal claims necessarily against the employer. The submissions for the respondents ignored the words in brackets.</w:t>
      </w:r>
      <w:r w:rsidR="00084CC4" w:rsidRPr="00084CC4">
        <w:rPr>
          <w:rFonts w:ascii="Times New Roman" w:hAnsi="Times New Roman" w:cs="Times New Roman"/>
        </w:rPr>
        <w:t xml:space="preserve"> </w:t>
      </w:r>
      <w:r w:rsidR="00084CC4">
        <w:rPr>
          <w:rFonts w:ascii="Times New Roman" w:hAnsi="Times New Roman" w:cs="Times New Roman"/>
        </w:rPr>
        <w:t>Section 47B(2) did not relieve a co-worker of liability for a detriment amounting to dismissal not within the meaning of Part X.</w:t>
      </w:r>
      <w:r w:rsidR="00084CC4" w:rsidRPr="00084CC4">
        <w:rPr>
          <w:rFonts w:ascii="Times New Roman" w:hAnsi="Times New Roman" w:cs="Times New Roman"/>
        </w:rPr>
        <w:t xml:space="preserve"> </w:t>
      </w:r>
      <w:r w:rsidR="00084CC4">
        <w:rPr>
          <w:rFonts w:ascii="Times New Roman" w:hAnsi="Times New Roman" w:cs="Times New Roman"/>
        </w:rPr>
        <w:t>This approach was coherent and did not strain the meaning of the legislation. It put employees in the same position as workers who never lose the right to make claims against individuals for detriments amounting to dismissal and ensure</w:t>
      </w:r>
      <w:r w:rsidR="006602B4">
        <w:rPr>
          <w:rFonts w:ascii="Times New Roman" w:hAnsi="Times New Roman" w:cs="Times New Roman"/>
        </w:rPr>
        <w:t>d</w:t>
      </w:r>
      <w:r w:rsidR="00084CC4">
        <w:rPr>
          <w:rFonts w:ascii="Times New Roman" w:hAnsi="Times New Roman" w:cs="Times New Roman"/>
        </w:rPr>
        <w:t xml:space="preserve"> that employees are given the same protection as workers who are subjected to the most serious detriments and not put in a worse position than those workers. An employee would be unlikely to pursue a claim for a whistleblowing detriment amounting to a dismissal </w:t>
      </w:r>
      <w:r w:rsidR="00084CC4">
        <w:rPr>
          <w:rFonts w:ascii="Times New Roman" w:hAnsi="Times New Roman" w:cs="Times New Roman"/>
        </w:rPr>
        <w:lastRenderedPageBreak/>
        <w:t>against an employee, rather than against the employer</w:t>
      </w:r>
      <w:r w:rsidR="006602B4">
        <w:rPr>
          <w:rFonts w:ascii="Times New Roman" w:hAnsi="Times New Roman" w:cs="Times New Roman"/>
        </w:rPr>
        <w:t xml:space="preserve">, but there was </w:t>
      </w:r>
      <w:r w:rsidR="00084CC4">
        <w:rPr>
          <w:rFonts w:ascii="Times New Roman" w:hAnsi="Times New Roman" w:cs="Times New Roman"/>
        </w:rPr>
        <w:t xml:space="preserve">no principled reason for excluding it. </w:t>
      </w:r>
    </w:p>
    <w:p w14:paraId="2876DD52" w14:textId="3368CC33" w:rsidR="00F87291" w:rsidRDefault="00D9367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R1 tried to appeal to this court but its appeal was dismissed by consent</w:t>
      </w:r>
      <w:r w:rsidR="003B08F0" w:rsidRPr="003B08F0">
        <w:rPr>
          <w:rFonts w:ascii="Times New Roman" w:hAnsi="Times New Roman" w:cs="Times New Roman"/>
        </w:rPr>
        <w:t xml:space="preserve"> </w:t>
      </w:r>
      <w:r w:rsidR="003B08F0">
        <w:rPr>
          <w:rFonts w:ascii="Times New Roman" w:hAnsi="Times New Roman" w:cs="Times New Roman"/>
        </w:rPr>
        <w:t>after it became insolvent</w:t>
      </w:r>
      <w:r>
        <w:rPr>
          <w:rFonts w:ascii="Times New Roman" w:hAnsi="Times New Roman" w:cs="Times New Roman"/>
        </w:rPr>
        <w:t>. R</w:t>
      </w:r>
      <w:r w:rsidR="00F15EDD">
        <w:rPr>
          <w:rFonts w:ascii="Times New Roman" w:hAnsi="Times New Roman" w:cs="Times New Roman"/>
        </w:rPr>
        <w:t>2</w:t>
      </w:r>
      <w:r>
        <w:rPr>
          <w:rFonts w:ascii="Times New Roman" w:hAnsi="Times New Roman" w:cs="Times New Roman"/>
        </w:rPr>
        <w:t xml:space="preserve"> and R</w:t>
      </w:r>
      <w:r w:rsidR="00F15EDD">
        <w:rPr>
          <w:rFonts w:ascii="Times New Roman" w:hAnsi="Times New Roman" w:cs="Times New Roman"/>
        </w:rPr>
        <w:t>3</w:t>
      </w:r>
      <w:r>
        <w:rPr>
          <w:rFonts w:ascii="Times New Roman" w:hAnsi="Times New Roman" w:cs="Times New Roman"/>
        </w:rPr>
        <w:t xml:space="preserve"> appealed on </w:t>
      </w:r>
      <w:r w:rsidR="0009390A">
        <w:rPr>
          <w:rFonts w:ascii="Times New Roman" w:hAnsi="Times New Roman" w:cs="Times New Roman"/>
        </w:rPr>
        <w:t>two</w:t>
      </w:r>
      <w:r>
        <w:rPr>
          <w:rFonts w:ascii="Times New Roman" w:hAnsi="Times New Roman" w:cs="Times New Roman"/>
        </w:rPr>
        <w:t xml:space="preserve"> grounds. The first was that section 47B(2) meant that </w:t>
      </w:r>
      <w:r w:rsidR="00F15EDD">
        <w:rPr>
          <w:rFonts w:ascii="Times New Roman" w:hAnsi="Times New Roman" w:cs="Times New Roman"/>
        </w:rPr>
        <w:t>they</w:t>
      </w:r>
      <w:r>
        <w:rPr>
          <w:rFonts w:ascii="Times New Roman" w:hAnsi="Times New Roman" w:cs="Times New Roman"/>
        </w:rPr>
        <w:t xml:space="preserve"> could not be liable to the claimant for an instruction to dismiss </w:t>
      </w:r>
      <w:proofErr w:type="gramStart"/>
      <w:r>
        <w:rPr>
          <w:rFonts w:ascii="Times New Roman" w:hAnsi="Times New Roman" w:cs="Times New Roman"/>
        </w:rPr>
        <w:t>him, and</w:t>
      </w:r>
      <w:proofErr w:type="gramEnd"/>
      <w:r>
        <w:rPr>
          <w:rFonts w:ascii="Times New Roman" w:hAnsi="Times New Roman" w:cs="Times New Roman"/>
        </w:rPr>
        <w:t xml:space="preserve"> could not be liable for losses flowing from his dismissal. The second was that R3 could not be liable to the claimant in any event because the ET had found that R2, not R3, had given the instruction to dismiss the claimant. </w:t>
      </w:r>
    </w:p>
    <w:p w14:paraId="64ABC26C" w14:textId="325ECF0F" w:rsidR="00B610BC" w:rsidRDefault="00B610BC"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Underhill LJ </w:t>
      </w:r>
      <w:r w:rsidR="008C2DE3">
        <w:rPr>
          <w:rFonts w:ascii="Times New Roman" w:hAnsi="Times New Roman" w:cs="Times New Roman"/>
        </w:rPr>
        <w:t xml:space="preserve">gave the </w:t>
      </w:r>
      <w:r w:rsidR="002A0472">
        <w:rPr>
          <w:rFonts w:ascii="Times New Roman" w:hAnsi="Times New Roman" w:cs="Times New Roman"/>
        </w:rPr>
        <w:t>single</w:t>
      </w:r>
      <w:r w:rsidR="008C2DE3">
        <w:rPr>
          <w:rFonts w:ascii="Times New Roman" w:hAnsi="Times New Roman" w:cs="Times New Roman"/>
        </w:rPr>
        <w:t xml:space="preserve"> reasoned judgment.  It </w:t>
      </w:r>
      <w:r>
        <w:rPr>
          <w:rFonts w:ascii="Times New Roman" w:hAnsi="Times New Roman" w:cs="Times New Roman"/>
        </w:rPr>
        <w:t xml:space="preserve">is detailed </w:t>
      </w:r>
      <w:r w:rsidRPr="00204BE4">
        <w:rPr>
          <w:rFonts w:asciiTheme="majorBidi" w:hAnsiTheme="majorBidi" w:cstheme="majorBidi"/>
        </w:rPr>
        <w:t>and</w:t>
      </w:r>
      <w:r>
        <w:rPr>
          <w:rFonts w:ascii="Times New Roman" w:hAnsi="Times New Roman" w:cs="Times New Roman"/>
        </w:rPr>
        <w:t xml:space="preserve"> multi-faceted</w:t>
      </w:r>
      <w:r w:rsidR="008C2DE3">
        <w:rPr>
          <w:rFonts w:ascii="Times New Roman" w:hAnsi="Times New Roman" w:cs="Times New Roman"/>
        </w:rPr>
        <w:t xml:space="preserve"> and w</w:t>
      </w:r>
      <w:r w:rsidR="00E929A8">
        <w:rPr>
          <w:rFonts w:ascii="Times New Roman" w:hAnsi="Times New Roman" w:cs="Times New Roman"/>
        </w:rPr>
        <w:t xml:space="preserve">e </w:t>
      </w:r>
      <w:r w:rsidR="00204BE4">
        <w:rPr>
          <w:rFonts w:asciiTheme="majorBidi" w:hAnsiTheme="majorBidi" w:cstheme="majorBidi"/>
        </w:rPr>
        <w:t xml:space="preserve">only </w:t>
      </w:r>
      <w:r w:rsidR="00E929A8">
        <w:rPr>
          <w:rFonts w:ascii="Times New Roman" w:hAnsi="Times New Roman" w:cs="Times New Roman"/>
        </w:rPr>
        <w:t xml:space="preserve">seek to </w:t>
      </w:r>
      <w:r w:rsidR="00CC1409">
        <w:rPr>
          <w:rFonts w:ascii="Times New Roman" w:hAnsi="Times New Roman" w:cs="Times New Roman"/>
        </w:rPr>
        <w:t xml:space="preserve">draw out its essential reasoning. </w:t>
      </w:r>
    </w:p>
    <w:p w14:paraId="46CAAE24" w14:textId="3ACF542F" w:rsidR="001C7E12" w:rsidRPr="006E0707" w:rsidRDefault="00507A53"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872547">
        <w:rPr>
          <w:rFonts w:ascii="Times New Roman" w:hAnsi="Times New Roman" w:cs="Times New Roman"/>
        </w:rPr>
        <w:t>At</w:t>
      </w:r>
      <w:r w:rsidR="00876D67" w:rsidRPr="00872547">
        <w:rPr>
          <w:rFonts w:ascii="Times New Roman" w:hAnsi="Times New Roman" w:cs="Times New Roman"/>
        </w:rPr>
        <w:t xml:space="preserve"> paragraph 1(5) </w:t>
      </w:r>
      <w:r w:rsidR="00CC1409">
        <w:rPr>
          <w:rFonts w:ascii="Times New Roman" w:hAnsi="Times New Roman" w:cs="Times New Roman"/>
        </w:rPr>
        <w:t xml:space="preserve">he </w:t>
      </w:r>
      <w:r w:rsidR="00876D67" w:rsidRPr="00872547">
        <w:rPr>
          <w:rFonts w:ascii="Times New Roman" w:hAnsi="Times New Roman" w:cs="Times New Roman"/>
        </w:rPr>
        <w:t xml:space="preserve">described </w:t>
      </w:r>
      <w:r w:rsidR="00841F75" w:rsidRPr="00872547">
        <w:rPr>
          <w:rFonts w:ascii="Times New Roman" w:hAnsi="Times New Roman" w:cs="Times New Roman"/>
        </w:rPr>
        <w:t xml:space="preserve">the </w:t>
      </w:r>
      <w:r w:rsidR="00876D67" w:rsidRPr="00872547">
        <w:rPr>
          <w:rFonts w:ascii="Times New Roman" w:hAnsi="Times New Roman" w:cs="Times New Roman"/>
        </w:rPr>
        <w:t>principal issue in the appeal</w:t>
      </w:r>
      <w:r w:rsidRPr="00872547">
        <w:rPr>
          <w:rFonts w:ascii="Times New Roman" w:hAnsi="Times New Roman" w:cs="Times New Roman"/>
        </w:rPr>
        <w:t xml:space="preserve"> as being </w:t>
      </w:r>
      <w:r w:rsidR="00876D67" w:rsidRPr="00872547">
        <w:rPr>
          <w:rFonts w:ascii="Times New Roman" w:hAnsi="Times New Roman" w:cs="Times New Roman"/>
        </w:rPr>
        <w:t xml:space="preserve">whether it was open to the ET to award the claimant compensation against the directors, as individuals, for the losses occasioned by his dismissal. </w:t>
      </w:r>
      <w:r w:rsidR="004151A4" w:rsidRPr="00872547">
        <w:rPr>
          <w:rFonts w:ascii="Times New Roman" w:hAnsi="Times New Roman" w:cs="Times New Roman"/>
        </w:rPr>
        <w:t>At</w:t>
      </w:r>
      <w:r w:rsidR="00876D67" w:rsidRPr="00872547">
        <w:rPr>
          <w:rFonts w:ascii="Times New Roman" w:hAnsi="Times New Roman" w:cs="Times New Roman"/>
        </w:rPr>
        <w:t xml:space="preserve"> paragraph 24, </w:t>
      </w:r>
      <w:r w:rsidR="00872547">
        <w:rPr>
          <w:rFonts w:ascii="Times New Roman" w:hAnsi="Times New Roman" w:cs="Times New Roman"/>
        </w:rPr>
        <w:t xml:space="preserve">he </w:t>
      </w:r>
      <w:r w:rsidR="00876D67" w:rsidRPr="00872547">
        <w:rPr>
          <w:rFonts w:ascii="Times New Roman" w:hAnsi="Times New Roman" w:cs="Times New Roman"/>
        </w:rPr>
        <w:t xml:space="preserve">noted that </w:t>
      </w:r>
      <w:r w:rsidR="00CC1409">
        <w:rPr>
          <w:rFonts w:ascii="Times New Roman" w:hAnsi="Times New Roman" w:cs="Times New Roman"/>
        </w:rPr>
        <w:t>this</w:t>
      </w:r>
      <w:r w:rsidR="00876D67" w:rsidRPr="00872547">
        <w:rPr>
          <w:rFonts w:ascii="Times New Roman" w:hAnsi="Times New Roman" w:cs="Times New Roman"/>
        </w:rPr>
        <w:t xml:space="preserve"> turned on the meaning and effect of section 47B(2).</w:t>
      </w:r>
      <w:r w:rsidR="00955A89" w:rsidRPr="00872547">
        <w:rPr>
          <w:rFonts w:ascii="Times New Roman" w:hAnsi="Times New Roman" w:cs="Times New Roman"/>
        </w:rPr>
        <w:t xml:space="preserve"> </w:t>
      </w:r>
      <w:r w:rsidR="006E0707" w:rsidRPr="006E0707">
        <w:rPr>
          <w:rFonts w:ascii="Times New Roman" w:hAnsi="Times New Roman" w:cs="Times New Roman"/>
        </w:rPr>
        <w:t>He</w:t>
      </w:r>
      <w:r w:rsidR="00706C5E" w:rsidRPr="006E0707">
        <w:rPr>
          <w:rFonts w:ascii="Times New Roman" w:hAnsi="Times New Roman" w:cs="Times New Roman"/>
        </w:rPr>
        <w:t xml:space="preserve"> </w:t>
      </w:r>
      <w:r w:rsidR="004151A4" w:rsidRPr="006E0707">
        <w:rPr>
          <w:rFonts w:ascii="Times New Roman" w:hAnsi="Times New Roman" w:cs="Times New Roman"/>
        </w:rPr>
        <w:t xml:space="preserve">helpfully </w:t>
      </w:r>
      <w:r w:rsidR="00876D67" w:rsidRPr="006E0707">
        <w:rPr>
          <w:rFonts w:ascii="Times New Roman" w:hAnsi="Times New Roman" w:cs="Times New Roman"/>
        </w:rPr>
        <w:t xml:space="preserve">described the legislative history </w:t>
      </w:r>
      <w:r w:rsidR="00706C5E" w:rsidRPr="006E0707">
        <w:rPr>
          <w:rFonts w:ascii="Times New Roman" w:hAnsi="Times New Roman" w:cs="Times New Roman"/>
        </w:rPr>
        <w:t>of</w:t>
      </w:r>
      <w:r w:rsidR="00876D67" w:rsidRPr="006E0707">
        <w:rPr>
          <w:rFonts w:ascii="Times New Roman" w:hAnsi="Times New Roman" w:cs="Times New Roman"/>
        </w:rPr>
        <w:t xml:space="preserve"> the relevant provisions</w:t>
      </w:r>
      <w:r w:rsidR="00F52547" w:rsidRPr="006E0707">
        <w:rPr>
          <w:rFonts w:ascii="Times New Roman" w:hAnsi="Times New Roman" w:cs="Times New Roman"/>
        </w:rPr>
        <w:t xml:space="preserve">. </w:t>
      </w:r>
      <w:r w:rsidR="006E0707">
        <w:rPr>
          <w:rFonts w:ascii="Times New Roman" w:hAnsi="Times New Roman" w:cs="Times New Roman"/>
        </w:rPr>
        <w:t>At</w:t>
      </w:r>
      <w:r w:rsidR="00876D67" w:rsidRPr="006E0707">
        <w:rPr>
          <w:rFonts w:ascii="Times New Roman" w:hAnsi="Times New Roman" w:cs="Times New Roman"/>
        </w:rPr>
        <w:t xml:space="preserve"> paragraph 32 he said that the effect of the amendment was that an employer could be liable by one of two routes: liability for its own act under section 47B(1), and vicarious liability under section 47B(1B). Which route was available would be important in cases in which an employer relies on a reasonable steps defence, as that defence is only available in claims under section 47B(1A). In paragraph 33 he adverted to the differences between this regime and the statutory provisions in the </w:t>
      </w:r>
      <w:r w:rsidR="0082464E" w:rsidRPr="006E0707">
        <w:rPr>
          <w:rFonts w:ascii="Times New Roman" w:hAnsi="Times New Roman" w:cs="Times New Roman"/>
        </w:rPr>
        <w:t xml:space="preserve">Equality Act </w:t>
      </w:r>
      <w:r w:rsidR="00876D67" w:rsidRPr="006E0707">
        <w:rPr>
          <w:rFonts w:ascii="Times New Roman" w:hAnsi="Times New Roman" w:cs="Times New Roman"/>
        </w:rPr>
        <w:t>2010 which relate to discrimination.</w:t>
      </w:r>
    </w:p>
    <w:p w14:paraId="13F1C420" w14:textId="1B037CE2"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973037">
        <w:rPr>
          <w:rFonts w:ascii="Times New Roman" w:hAnsi="Times New Roman" w:cs="Times New Roman"/>
        </w:rPr>
        <w:t>In paragraph 5</w:t>
      </w:r>
      <w:r>
        <w:rPr>
          <w:rFonts w:ascii="Times New Roman" w:hAnsi="Times New Roman" w:cs="Times New Roman"/>
        </w:rPr>
        <w:t>9</w:t>
      </w:r>
      <w:r w:rsidRPr="00973037">
        <w:rPr>
          <w:rFonts w:ascii="Times New Roman" w:hAnsi="Times New Roman" w:cs="Times New Roman"/>
        </w:rPr>
        <w:t>, Underhill LJ accepted tha</w:t>
      </w:r>
      <w:r>
        <w:rPr>
          <w:rFonts w:ascii="Times New Roman" w:hAnsi="Times New Roman" w:cs="Times New Roman"/>
        </w:rPr>
        <w:t>t whether a detriment amounts to a dismissal is a question of substance, not form, and that it was artificial to treat detriment (m) as distinct from the claimant’s dismissal. That was only part of the answer, however</w:t>
      </w:r>
      <w:r w:rsidR="00992404">
        <w:rPr>
          <w:rFonts w:ascii="Times New Roman" w:hAnsi="Times New Roman" w:cs="Times New Roman"/>
        </w:rPr>
        <w:t xml:space="preserve">, as the </w:t>
      </w:r>
      <w:r w:rsidR="00801355">
        <w:rPr>
          <w:rFonts w:ascii="Times New Roman" w:hAnsi="Times New Roman" w:cs="Times New Roman"/>
        </w:rPr>
        <w:t>claimant</w:t>
      </w:r>
      <w:r w:rsidR="006202D9">
        <w:rPr>
          <w:rFonts w:ascii="Times New Roman" w:hAnsi="Times New Roman" w:cs="Times New Roman"/>
        </w:rPr>
        <w:t>’s</w:t>
      </w:r>
      <w:r w:rsidR="00801355">
        <w:rPr>
          <w:rFonts w:ascii="Times New Roman" w:hAnsi="Times New Roman" w:cs="Times New Roman"/>
        </w:rPr>
        <w:t xml:space="preserve"> case was that section 47B(2) did not </w:t>
      </w:r>
      <w:r w:rsidR="00485297">
        <w:rPr>
          <w:rFonts w:ascii="Times New Roman" w:hAnsi="Times New Roman" w:cs="Times New Roman"/>
        </w:rPr>
        <w:t>apply to a claim as against the directors.</w:t>
      </w:r>
      <w:r>
        <w:rPr>
          <w:rFonts w:ascii="Times New Roman" w:hAnsi="Times New Roman" w:cs="Times New Roman"/>
        </w:rPr>
        <w:t xml:space="preserve"> </w:t>
      </w:r>
    </w:p>
    <w:p w14:paraId="4DFA0DE2" w14:textId="4DD6C5DB" w:rsidR="00876D67" w:rsidRDefault="00E20D5F"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Underhill LJ </w:t>
      </w:r>
      <w:r w:rsidR="00876D67">
        <w:rPr>
          <w:rFonts w:ascii="Times New Roman" w:hAnsi="Times New Roman" w:cs="Times New Roman"/>
        </w:rPr>
        <w:t xml:space="preserve">recorded </w:t>
      </w:r>
      <w:r w:rsidR="004F6606">
        <w:rPr>
          <w:rFonts w:ascii="Times New Roman" w:hAnsi="Times New Roman" w:cs="Times New Roman"/>
        </w:rPr>
        <w:t xml:space="preserve">in paragraph 6 </w:t>
      </w:r>
      <w:r w:rsidR="00876D67">
        <w:rPr>
          <w:rFonts w:ascii="Times New Roman" w:hAnsi="Times New Roman" w:cs="Times New Roman"/>
        </w:rPr>
        <w:t>the respondents</w:t>
      </w:r>
      <w:r>
        <w:rPr>
          <w:rFonts w:ascii="Times New Roman" w:hAnsi="Times New Roman" w:cs="Times New Roman"/>
        </w:rPr>
        <w:t>’</w:t>
      </w:r>
      <w:r w:rsidR="00876D67">
        <w:rPr>
          <w:rFonts w:ascii="Times New Roman" w:hAnsi="Times New Roman" w:cs="Times New Roman"/>
        </w:rPr>
        <w:t xml:space="preserve"> argument that if the claimant’s construction were correct, it would undermine the </w:t>
      </w:r>
      <w:r w:rsidR="00A62A9D">
        <w:rPr>
          <w:rFonts w:ascii="Times New Roman" w:hAnsi="Times New Roman" w:cs="Times New Roman"/>
        </w:rPr>
        <w:t>“</w:t>
      </w:r>
      <w:r w:rsidR="00876D67">
        <w:rPr>
          <w:rFonts w:ascii="Times New Roman" w:hAnsi="Times New Roman" w:cs="Times New Roman"/>
        </w:rPr>
        <w:t>careful demarcation</w:t>
      </w:r>
      <w:r w:rsidR="00A62A9D">
        <w:rPr>
          <w:rFonts w:ascii="Times New Roman" w:hAnsi="Times New Roman" w:cs="Times New Roman"/>
        </w:rPr>
        <w:t>”</w:t>
      </w:r>
      <w:r w:rsidR="00876D67">
        <w:rPr>
          <w:rFonts w:ascii="Times New Roman" w:hAnsi="Times New Roman" w:cs="Times New Roman"/>
        </w:rPr>
        <w:t xml:space="preserve"> between Part V and Part X. In practice, every claimant could make a claim against the employer </w:t>
      </w:r>
      <w:r w:rsidR="00A62A9D">
        <w:rPr>
          <w:rFonts w:ascii="Times New Roman" w:hAnsi="Times New Roman" w:cs="Times New Roman"/>
        </w:rPr>
        <w:t>“</w:t>
      </w:r>
      <w:r w:rsidR="00876D67">
        <w:rPr>
          <w:rFonts w:ascii="Times New Roman" w:hAnsi="Times New Roman" w:cs="Times New Roman"/>
        </w:rPr>
        <w:t>(on the back of the co-worker’s liability under subsection (1A)</w:t>
      </w:r>
      <w:r w:rsidR="00ED7B47">
        <w:rPr>
          <w:rFonts w:ascii="Times New Roman" w:hAnsi="Times New Roman" w:cs="Times New Roman"/>
        </w:rPr>
        <w:t>)</w:t>
      </w:r>
      <w:r w:rsidR="00876D67">
        <w:rPr>
          <w:rFonts w:ascii="Times New Roman" w:hAnsi="Times New Roman" w:cs="Times New Roman"/>
        </w:rPr>
        <w:t xml:space="preserve"> as well as, or instead of, under section 103A</w:t>
      </w:r>
      <w:r w:rsidR="00A62A9D">
        <w:rPr>
          <w:rFonts w:ascii="Times New Roman" w:hAnsi="Times New Roman" w:cs="Times New Roman"/>
        </w:rPr>
        <w:t>”</w:t>
      </w:r>
      <w:r w:rsidR="00876D67">
        <w:rPr>
          <w:rFonts w:ascii="Times New Roman" w:hAnsi="Times New Roman" w:cs="Times New Roman"/>
        </w:rPr>
        <w:t xml:space="preserve">. There were two advantages for claimants; they could get damages for injury to feelings and rely on a less restrictive causation test. Section 103A would become a dead letter. There was no reason to think that Parliament was concerned about the possibility that an employer could become insolvent. That was a risk in all litigation and Parliament had addressed </w:t>
      </w:r>
      <w:r w:rsidR="006D1D9F">
        <w:rPr>
          <w:rFonts w:ascii="Times New Roman" w:hAnsi="Times New Roman" w:cs="Times New Roman"/>
        </w:rPr>
        <w:t>it</w:t>
      </w:r>
      <w:r w:rsidR="00876D67">
        <w:rPr>
          <w:rFonts w:ascii="Times New Roman" w:hAnsi="Times New Roman" w:cs="Times New Roman"/>
        </w:rPr>
        <w:t xml:space="preserve"> in Part XII, to the extent which it considered appropriate. Nor did the respondents accept that it was more coherent for employees and workers to be treated in the same way; their circumstances are fundamentally different. Contrary to the view expressed by Simler P</w:t>
      </w:r>
      <w:r w:rsidR="0045214E">
        <w:rPr>
          <w:rFonts w:ascii="Times New Roman" w:hAnsi="Times New Roman" w:cs="Times New Roman"/>
        </w:rPr>
        <w:t xml:space="preserve">, </w:t>
      </w:r>
      <w:r w:rsidR="00876D67">
        <w:rPr>
          <w:rFonts w:ascii="Times New Roman" w:hAnsi="Times New Roman" w:cs="Times New Roman"/>
        </w:rPr>
        <w:t>it was not an unacceptable anomaly that a co-worker could not be liable for a whistleblower dismissal when he or she could be liable for a prior act which caused it. That was simply a consequence of the division of labour between Parts V and X.</w:t>
      </w:r>
    </w:p>
    <w:p w14:paraId="0CF3876C" w14:textId="6382D850" w:rsidR="00876D67" w:rsidRDefault="00FE1701"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lastRenderedPageBreak/>
        <w:t xml:space="preserve">At paragraph 67, </w:t>
      </w:r>
      <w:r w:rsidR="00876D67">
        <w:rPr>
          <w:rFonts w:ascii="Times New Roman" w:hAnsi="Times New Roman" w:cs="Times New Roman"/>
        </w:rPr>
        <w:t>Underhill LJ said that he had not found this point straightforward, but he had decided that the decision of the EAT was right. He agreed with Simler P</w:t>
      </w:r>
      <w:r w:rsidR="0012431D">
        <w:rPr>
          <w:rFonts w:ascii="Times New Roman" w:hAnsi="Times New Roman" w:cs="Times New Roman"/>
        </w:rPr>
        <w:t xml:space="preserve"> </w:t>
      </w:r>
      <w:r w:rsidR="00876D67">
        <w:rPr>
          <w:rFonts w:ascii="Times New Roman" w:hAnsi="Times New Roman" w:cs="Times New Roman"/>
        </w:rPr>
        <w:t xml:space="preserve">that a construction of section 47B(2) which prevented a claimant from bringing a claim against a co-worker based on </w:t>
      </w:r>
      <w:r w:rsidR="00876D67" w:rsidRPr="003613EF">
        <w:rPr>
          <w:rFonts w:ascii="Times New Roman" w:hAnsi="Times New Roman" w:cs="Times New Roman"/>
        </w:rPr>
        <w:t>the detriment of dismissal</w:t>
      </w:r>
      <w:r w:rsidR="00876D67">
        <w:rPr>
          <w:rFonts w:ascii="Times New Roman" w:hAnsi="Times New Roman" w:cs="Times New Roman"/>
        </w:rPr>
        <w:t xml:space="preserve"> would produce an incoherent and unsatisfactory result and </w:t>
      </w:r>
      <w:r w:rsidR="00CD7D75">
        <w:rPr>
          <w:rFonts w:ascii="Times New Roman" w:hAnsi="Times New Roman" w:cs="Times New Roman"/>
        </w:rPr>
        <w:t>was</w:t>
      </w:r>
      <w:r w:rsidR="00876D67">
        <w:rPr>
          <w:rFonts w:ascii="Times New Roman" w:hAnsi="Times New Roman" w:cs="Times New Roman"/>
        </w:rPr>
        <w:t xml:space="preserve"> </w:t>
      </w:r>
      <w:r w:rsidR="00876D67" w:rsidRPr="003613EF">
        <w:rPr>
          <w:rFonts w:ascii="Times New Roman" w:hAnsi="Times New Roman" w:cs="Times New Roman"/>
        </w:rPr>
        <w:t>accordingly unlikely to conform to Parliament’s intention</w:t>
      </w:r>
      <w:r w:rsidR="00876D67">
        <w:rPr>
          <w:rFonts w:ascii="Times New Roman" w:hAnsi="Times New Roman" w:cs="Times New Roman"/>
        </w:rPr>
        <w:t xml:space="preserve">. If Parliament had decided to make co-workers liable for whistleblower detriment it </w:t>
      </w:r>
      <w:r w:rsidR="004D15D2">
        <w:rPr>
          <w:rFonts w:ascii="Times New Roman" w:hAnsi="Times New Roman" w:cs="Times New Roman"/>
        </w:rPr>
        <w:t>was</w:t>
      </w:r>
      <w:r w:rsidR="00876D67">
        <w:rPr>
          <w:rFonts w:ascii="Times New Roman" w:hAnsi="Times New Roman" w:cs="Times New Roman"/>
        </w:rPr>
        <w:t xml:space="preserve"> hard to see any reason in principle why they should, uniquely, not be so liable in a case where the detriment amounts to dismissal</w:t>
      </w:r>
      <w:r w:rsidR="004D15D2">
        <w:rPr>
          <w:rFonts w:ascii="Times New Roman" w:hAnsi="Times New Roman" w:cs="Times New Roman"/>
        </w:rPr>
        <w:t>.</w:t>
      </w:r>
      <w:r w:rsidR="00876D67">
        <w:rPr>
          <w:rFonts w:ascii="Times New Roman" w:hAnsi="Times New Roman" w:cs="Times New Roman"/>
        </w:rPr>
        <w:t xml:space="preserve"> That produced the obvious anomalies to which Simler P</w:t>
      </w:r>
      <w:r w:rsidR="0012431D">
        <w:rPr>
          <w:rFonts w:ascii="Times New Roman" w:hAnsi="Times New Roman" w:cs="Times New Roman"/>
        </w:rPr>
        <w:t xml:space="preserve"> </w:t>
      </w:r>
      <w:r w:rsidR="00876D67">
        <w:rPr>
          <w:rFonts w:ascii="Times New Roman" w:hAnsi="Times New Roman" w:cs="Times New Roman"/>
        </w:rPr>
        <w:t>had referred</w:t>
      </w:r>
      <w:r w:rsidR="0058194D">
        <w:rPr>
          <w:rFonts w:ascii="Times New Roman" w:hAnsi="Times New Roman" w:cs="Times New Roman"/>
        </w:rPr>
        <w:t>.</w:t>
      </w:r>
    </w:p>
    <w:p w14:paraId="7D0BD85C" w14:textId="5B8AE799" w:rsidR="00554811" w:rsidRDefault="005F6A0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Further, </w:t>
      </w:r>
      <w:r w:rsidR="00876D67">
        <w:rPr>
          <w:rFonts w:ascii="Times New Roman" w:hAnsi="Times New Roman" w:cs="Times New Roman"/>
        </w:rPr>
        <w:t>Parliament’s allocation of different rights to Parts V and X was not as significant as the respondents argued</w:t>
      </w:r>
      <w:r w:rsidR="003427F4">
        <w:rPr>
          <w:rFonts w:ascii="Times New Roman" w:hAnsi="Times New Roman" w:cs="Times New Roman"/>
        </w:rPr>
        <w:t>:</w:t>
      </w:r>
    </w:p>
    <w:p w14:paraId="2E5DC280" w14:textId="54A02D29" w:rsidR="00D96963" w:rsidRDefault="003427F4" w:rsidP="00AC2BC7">
      <w:pPr>
        <w:pStyle w:val="ListParagraph"/>
        <w:spacing w:before="120" w:after="360" w:line="240" w:lineRule="auto"/>
        <w:ind w:left="1134" w:right="1089"/>
        <w:contextualSpacing w:val="0"/>
        <w:jc w:val="both"/>
        <w:rPr>
          <w:rFonts w:ascii="Times New Roman" w:hAnsi="Times New Roman" w:cs="Times New Roman"/>
        </w:rPr>
      </w:pPr>
      <w:r>
        <w:rPr>
          <w:rFonts w:ascii="Times New Roman" w:hAnsi="Times New Roman" w:cs="Times New Roman"/>
        </w:rPr>
        <w:t xml:space="preserve">“70 … </w:t>
      </w:r>
      <w:r w:rsidR="002B499D" w:rsidRPr="002B499D">
        <w:rPr>
          <w:rFonts w:ascii="Times New Roman" w:hAnsi="Times New Roman" w:cs="Times New Roman"/>
        </w:rPr>
        <w:t>It is of course right that the two Parts constitute distinct and</w:t>
      </w:r>
      <w:r w:rsidR="002B499D">
        <w:rPr>
          <w:rFonts w:ascii="Times New Roman" w:hAnsi="Times New Roman" w:cs="Times New Roman"/>
        </w:rPr>
        <w:t xml:space="preserve"> </w:t>
      </w:r>
      <w:r w:rsidR="002B499D" w:rsidRPr="002B499D">
        <w:rPr>
          <w:rFonts w:ascii="Times New Roman" w:hAnsi="Times New Roman" w:cs="Times New Roman"/>
        </w:rPr>
        <w:t>largely self-contained regimes. However, that simply r</w:t>
      </w:r>
      <w:r>
        <w:rPr>
          <w:rFonts w:ascii="Times New Roman" w:hAnsi="Times New Roman" w:cs="Times New Roman"/>
        </w:rPr>
        <w:t>e</w:t>
      </w:r>
      <w:r w:rsidR="002B499D">
        <w:rPr>
          <w:rFonts w:ascii="Times New Roman" w:hAnsi="Times New Roman" w:cs="Times New Roman"/>
        </w:rPr>
        <w:t>fl</w:t>
      </w:r>
      <w:r w:rsidR="002B499D" w:rsidRPr="002B499D">
        <w:rPr>
          <w:rFonts w:ascii="Times New Roman" w:hAnsi="Times New Roman" w:cs="Times New Roman"/>
        </w:rPr>
        <w:t>ects the separate</w:t>
      </w:r>
      <w:r>
        <w:rPr>
          <w:rFonts w:ascii="Times New Roman" w:hAnsi="Times New Roman" w:cs="Times New Roman"/>
        </w:rPr>
        <w:t xml:space="preserve"> </w:t>
      </w:r>
      <w:r w:rsidR="002B499D" w:rsidRPr="002B499D">
        <w:rPr>
          <w:rFonts w:ascii="Times New Roman" w:hAnsi="Times New Roman" w:cs="Times New Roman"/>
        </w:rPr>
        <w:t>and historically prior development of protection against unfair dismissal. As</w:t>
      </w:r>
      <w:r>
        <w:rPr>
          <w:rFonts w:ascii="Times New Roman" w:hAnsi="Times New Roman" w:cs="Times New Roman"/>
        </w:rPr>
        <w:t xml:space="preserve"> </w:t>
      </w:r>
      <w:r w:rsidR="002B499D" w:rsidRPr="002B499D">
        <w:rPr>
          <w:rFonts w:ascii="Times New Roman" w:hAnsi="Times New Roman" w:cs="Times New Roman"/>
        </w:rPr>
        <w:t>it came to be recognised that treatment on certain proscribed grounds</w:t>
      </w:r>
      <w:r>
        <w:rPr>
          <w:rFonts w:ascii="Times New Roman" w:hAnsi="Times New Roman" w:cs="Times New Roman"/>
        </w:rPr>
        <w:t xml:space="preserve"> </w:t>
      </w:r>
      <w:r w:rsidR="002B499D" w:rsidRPr="002B499D">
        <w:rPr>
          <w:rFonts w:ascii="Times New Roman" w:hAnsi="Times New Roman" w:cs="Times New Roman"/>
        </w:rPr>
        <w:t>required additional protection, the choice was made not to disturb the</w:t>
      </w:r>
      <w:r>
        <w:rPr>
          <w:rFonts w:ascii="Times New Roman" w:hAnsi="Times New Roman" w:cs="Times New Roman"/>
        </w:rPr>
        <w:t xml:space="preserve"> </w:t>
      </w:r>
      <w:r w:rsidR="002B499D" w:rsidRPr="002B499D">
        <w:rPr>
          <w:rFonts w:ascii="Times New Roman" w:hAnsi="Times New Roman" w:cs="Times New Roman"/>
        </w:rPr>
        <w:t>existing unfair dismissal regime but to create a complementary regime</w:t>
      </w:r>
      <w:r>
        <w:rPr>
          <w:rFonts w:ascii="Times New Roman" w:hAnsi="Times New Roman" w:cs="Times New Roman"/>
        </w:rPr>
        <w:t xml:space="preserve"> </w:t>
      </w:r>
      <w:r w:rsidR="002B499D" w:rsidRPr="002B499D">
        <w:rPr>
          <w:rFonts w:ascii="Times New Roman" w:hAnsi="Times New Roman" w:cs="Times New Roman"/>
        </w:rPr>
        <w:t>covering detriments other than dismissal. But the di</w:t>
      </w:r>
      <w:r>
        <w:rPr>
          <w:rFonts w:ascii="Times New Roman" w:hAnsi="Times New Roman" w:cs="Times New Roman"/>
        </w:rPr>
        <w:t>ff</w:t>
      </w:r>
      <w:r w:rsidR="002B499D" w:rsidRPr="002B499D">
        <w:rPr>
          <w:rFonts w:ascii="Times New Roman" w:hAnsi="Times New Roman" w:cs="Times New Roman"/>
        </w:rPr>
        <w:t>erent regimes address</w:t>
      </w:r>
      <w:r>
        <w:rPr>
          <w:rFonts w:ascii="Times New Roman" w:hAnsi="Times New Roman" w:cs="Times New Roman"/>
        </w:rPr>
        <w:t xml:space="preserve"> </w:t>
      </w:r>
      <w:r w:rsidR="002B499D" w:rsidRPr="002B499D">
        <w:rPr>
          <w:rFonts w:ascii="Times New Roman" w:hAnsi="Times New Roman" w:cs="Times New Roman"/>
        </w:rPr>
        <w:t>di</w:t>
      </w:r>
      <w:r>
        <w:rPr>
          <w:rFonts w:ascii="Times New Roman" w:hAnsi="Times New Roman" w:cs="Times New Roman"/>
        </w:rPr>
        <w:t>ff</w:t>
      </w:r>
      <w:r w:rsidR="002B499D" w:rsidRPr="002B499D">
        <w:rPr>
          <w:rFonts w:ascii="Times New Roman" w:hAnsi="Times New Roman" w:cs="Times New Roman"/>
        </w:rPr>
        <w:t>erent aspects of the same mischiefs; and, as I have shown, they mostly</w:t>
      </w:r>
      <w:r>
        <w:rPr>
          <w:rFonts w:ascii="Times New Roman" w:hAnsi="Times New Roman" w:cs="Times New Roman"/>
        </w:rPr>
        <w:t xml:space="preserve"> </w:t>
      </w:r>
      <w:r w:rsidR="002B499D" w:rsidRPr="002B499D">
        <w:rPr>
          <w:rFonts w:ascii="Times New Roman" w:hAnsi="Times New Roman" w:cs="Times New Roman"/>
        </w:rPr>
        <w:t>employ substantially the same drafting. There is no reason to believe that</w:t>
      </w:r>
      <w:r>
        <w:rPr>
          <w:rFonts w:ascii="Times New Roman" w:hAnsi="Times New Roman" w:cs="Times New Roman"/>
        </w:rPr>
        <w:t xml:space="preserve"> </w:t>
      </w:r>
      <w:r w:rsidR="002B499D" w:rsidRPr="002B499D">
        <w:rPr>
          <w:rFonts w:ascii="Times New Roman" w:hAnsi="Times New Roman" w:cs="Times New Roman"/>
        </w:rPr>
        <w:t>they r</w:t>
      </w:r>
      <w:r>
        <w:rPr>
          <w:rFonts w:ascii="Times New Roman" w:hAnsi="Times New Roman" w:cs="Times New Roman"/>
        </w:rPr>
        <w:t>efl</w:t>
      </w:r>
      <w:r w:rsidR="002B499D" w:rsidRPr="002B499D">
        <w:rPr>
          <w:rFonts w:ascii="Times New Roman" w:hAnsi="Times New Roman" w:cs="Times New Roman"/>
        </w:rPr>
        <w:t>ect any great conceptual gulf perceived by Parliament between</w:t>
      </w:r>
      <w:r>
        <w:rPr>
          <w:rFonts w:ascii="Times New Roman" w:hAnsi="Times New Roman" w:cs="Times New Roman"/>
        </w:rPr>
        <w:t xml:space="preserve"> </w:t>
      </w:r>
      <w:r w:rsidR="002B499D" w:rsidRPr="002B499D">
        <w:rPr>
          <w:rFonts w:ascii="Times New Roman" w:hAnsi="Times New Roman" w:cs="Times New Roman"/>
        </w:rPr>
        <w:t>dismissal and other kinds of detriment. That being so, although anti-overlap</w:t>
      </w:r>
      <w:r w:rsidR="00D96963">
        <w:rPr>
          <w:rFonts w:ascii="Times New Roman" w:hAnsi="Times New Roman" w:cs="Times New Roman"/>
        </w:rPr>
        <w:t xml:space="preserve"> </w:t>
      </w:r>
      <w:r w:rsidR="002B499D" w:rsidRPr="002B499D">
        <w:rPr>
          <w:rFonts w:ascii="Times New Roman" w:hAnsi="Times New Roman" w:cs="Times New Roman"/>
        </w:rPr>
        <w:t>provisions of the kind found in section 44(4) were required in the interests of</w:t>
      </w:r>
      <w:r w:rsidR="00D96963">
        <w:rPr>
          <w:rFonts w:ascii="Times New Roman" w:hAnsi="Times New Roman" w:cs="Times New Roman"/>
        </w:rPr>
        <w:t xml:space="preserve"> </w:t>
      </w:r>
      <w:r w:rsidR="002B499D" w:rsidRPr="002B499D">
        <w:rPr>
          <w:rFonts w:ascii="Times New Roman" w:hAnsi="Times New Roman" w:cs="Times New Roman"/>
        </w:rPr>
        <w:t>good order, the policy behind them is unlikely to have been anything more</w:t>
      </w:r>
      <w:r w:rsidR="00D96963">
        <w:rPr>
          <w:rFonts w:ascii="Times New Roman" w:hAnsi="Times New Roman" w:cs="Times New Roman"/>
        </w:rPr>
        <w:t xml:space="preserve"> </w:t>
      </w:r>
      <w:r w:rsidR="002B499D" w:rsidRPr="002B499D">
        <w:rPr>
          <w:rFonts w:ascii="Times New Roman" w:hAnsi="Times New Roman" w:cs="Times New Roman"/>
        </w:rPr>
        <w:t xml:space="preserve">than that a claimant should not claim under Part V where </w:t>
      </w:r>
      <w:r w:rsidR="002B499D" w:rsidRPr="002344FF">
        <w:rPr>
          <w:rFonts w:ascii="Times New Roman" w:hAnsi="Times New Roman" w:cs="Times New Roman"/>
          <w:i/>
          <w:iCs/>
        </w:rPr>
        <w:t>the identical right</w:t>
      </w:r>
      <w:r w:rsidR="00D96963" w:rsidRPr="00D96963">
        <w:rPr>
          <w:rFonts w:ascii="Times New Roman" w:hAnsi="Times New Roman" w:cs="Times New Roman"/>
          <w:i/>
          <w:iCs/>
        </w:rPr>
        <w:t xml:space="preserve"> </w:t>
      </w:r>
      <w:r w:rsidR="002B499D" w:rsidRPr="002B499D">
        <w:rPr>
          <w:rFonts w:ascii="Times New Roman" w:hAnsi="Times New Roman" w:cs="Times New Roman"/>
        </w:rPr>
        <w:t>was available under Part X.</w:t>
      </w:r>
      <w:r w:rsidR="00D96963">
        <w:rPr>
          <w:rFonts w:ascii="Times New Roman" w:hAnsi="Times New Roman" w:cs="Times New Roman"/>
        </w:rPr>
        <w:t>”</w:t>
      </w:r>
    </w:p>
    <w:p w14:paraId="6EAD3E4B" w14:textId="0FF5CCA2" w:rsidR="00876D67" w:rsidRPr="00D96963" w:rsidRDefault="00876D67" w:rsidP="00AC2BC7">
      <w:pPr>
        <w:pStyle w:val="ListParagraph"/>
        <w:spacing w:before="120" w:after="360" w:line="240" w:lineRule="auto"/>
        <w:ind w:left="1134" w:right="1089"/>
        <w:contextualSpacing w:val="0"/>
        <w:jc w:val="both"/>
        <w:rPr>
          <w:rFonts w:ascii="Times New Roman" w:hAnsi="Times New Roman" w:cs="Times New Roman"/>
        </w:rPr>
      </w:pPr>
      <w:r w:rsidRPr="00D96963">
        <w:rPr>
          <w:rFonts w:ascii="Times New Roman" w:hAnsi="Times New Roman" w:cs="Times New Roman"/>
        </w:rPr>
        <w:t>(</w:t>
      </w:r>
      <w:r w:rsidR="00CC5FB8" w:rsidRPr="00D96963">
        <w:rPr>
          <w:rFonts w:ascii="Times New Roman" w:hAnsi="Times New Roman" w:cs="Times New Roman"/>
        </w:rPr>
        <w:t>our</w:t>
      </w:r>
      <w:r w:rsidRPr="00D96963">
        <w:rPr>
          <w:rFonts w:ascii="Times New Roman" w:hAnsi="Times New Roman" w:cs="Times New Roman"/>
        </w:rPr>
        <w:t xml:space="preserve"> emphasis)</w:t>
      </w:r>
    </w:p>
    <w:p w14:paraId="18A3BD19" w14:textId="1FFF96C1" w:rsidR="00876D67" w:rsidRPr="00B13525"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B13525">
        <w:rPr>
          <w:rFonts w:ascii="Times New Roman" w:hAnsi="Times New Roman" w:cs="Times New Roman"/>
        </w:rPr>
        <w:t xml:space="preserve">Underhill LJ </w:t>
      </w:r>
      <w:r w:rsidR="002344FF">
        <w:rPr>
          <w:rFonts w:ascii="Times New Roman" w:hAnsi="Times New Roman" w:cs="Times New Roman"/>
        </w:rPr>
        <w:t xml:space="preserve">considered </w:t>
      </w:r>
      <w:r w:rsidR="006853AC" w:rsidRPr="00B13525">
        <w:rPr>
          <w:rFonts w:ascii="Times New Roman" w:hAnsi="Times New Roman" w:cs="Times New Roman"/>
        </w:rPr>
        <w:t>t</w:t>
      </w:r>
      <w:r w:rsidRPr="00B13525">
        <w:rPr>
          <w:rFonts w:ascii="Times New Roman" w:hAnsi="Times New Roman" w:cs="Times New Roman"/>
        </w:rPr>
        <w:t xml:space="preserve">hat there was no reason to suppose that that policy changed in 1998, or in 2013. </w:t>
      </w:r>
      <w:r w:rsidR="004F0AAF" w:rsidRPr="00B13525">
        <w:rPr>
          <w:rFonts w:ascii="Times New Roman" w:hAnsi="Times New Roman" w:cs="Times New Roman"/>
        </w:rPr>
        <w:t xml:space="preserve">There was </w:t>
      </w:r>
      <w:r w:rsidRPr="00B13525">
        <w:rPr>
          <w:rFonts w:ascii="Times New Roman" w:hAnsi="Times New Roman" w:cs="Times New Roman"/>
        </w:rPr>
        <w:t>no basis for thinking that the introduction of individual liability meant that, for the first time</w:t>
      </w:r>
      <w:r w:rsidR="0081050F" w:rsidRPr="00B13525">
        <w:rPr>
          <w:rFonts w:ascii="Times New Roman" w:hAnsi="Times New Roman" w:cs="Times New Roman"/>
        </w:rPr>
        <w:t>,</w:t>
      </w:r>
      <w:r w:rsidRPr="00B13525">
        <w:rPr>
          <w:rFonts w:ascii="Times New Roman" w:hAnsi="Times New Roman" w:cs="Times New Roman"/>
        </w:rPr>
        <w:t xml:space="preserve"> section 47B(2), which had not been amended, was intended to exclude liability which would arise under the other provisions of the </w:t>
      </w:r>
      <w:proofErr w:type="gramStart"/>
      <w:r w:rsidRPr="00B13525">
        <w:rPr>
          <w:rFonts w:ascii="Times New Roman" w:hAnsi="Times New Roman" w:cs="Times New Roman"/>
        </w:rPr>
        <w:t>section</w:t>
      </w:r>
      <w:proofErr w:type="gramEnd"/>
      <w:r w:rsidRPr="00B13525">
        <w:rPr>
          <w:rFonts w:ascii="Times New Roman" w:hAnsi="Times New Roman" w:cs="Times New Roman"/>
        </w:rPr>
        <w:t xml:space="preserve"> but which was not provided for in section 103A.</w:t>
      </w:r>
      <w:r w:rsidR="00B13525" w:rsidRPr="00B13525">
        <w:rPr>
          <w:rFonts w:ascii="Times New Roman" w:hAnsi="Times New Roman" w:cs="Times New Roman"/>
        </w:rPr>
        <w:t xml:space="preserve"> </w:t>
      </w:r>
      <w:r w:rsidRPr="00B13525">
        <w:rPr>
          <w:rFonts w:ascii="Times New Roman" w:hAnsi="Times New Roman" w:cs="Times New Roman"/>
        </w:rPr>
        <w:t xml:space="preserve">He </w:t>
      </w:r>
      <w:r w:rsidR="007C7EEB" w:rsidRPr="00B13525">
        <w:rPr>
          <w:rFonts w:ascii="Times New Roman" w:hAnsi="Times New Roman" w:cs="Times New Roman"/>
        </w:rPr>
        <w:t xml:space="preserve">said that he </w:t>
      </w:r>
      <w:r w:rsidRPr="00B13525">
        <w:rPr>
          <w:rFonts w:ascii="Times New Roman" w:hAnsi="Times New Roman" w:cs="Times New Roman"/>
        </w:rPr>
        <w:t xml:space="preserve">was initially troubled by two points: by the fact that compensation for injury to feelings can be recovered in detriment claims but not in unfair dismissal claims, and by the difference between the tests for causation in Part X and Part V. </w:t>
      </w:r>
      <w:r w:rsidR="002A52C7" w:rsidRPr="00B13525">
        <w:rPr>
          <w:rFonts w:ascii="Times New Roman" w:hAnsi="Times New Roman" w:cs="Times New Roman"/>
        </w:rPr>
        <w:t>T</w:t>
      </w:r>
      <w:r w:rsidRPr="00B13525">
        <w:rPr>
          <w:rFonts w:ascii="Times New Roman" w:hAnsi="Times New Roman" w:cs="Times New Roman"/>
        </w:rPr>
        <w:t xml:space="preserve">hose two points were </w:t>
      </w:r>
      <w:proofErr w:type="gramStart"/>
      <w:r w:rsidRPr="00B13525">
        <w:rPr>
          <w:rFonts w:ascii="Times New Roman" w:hAnsi="Times New Roman" w:cs="Times New Roman"/>
        </w:rPr>
        <w:t>anomalies</w:t>
      </w:r>
      <w:proofErr w:type="gramEnd"/>
      <w:r w:rsidR="002A52C7" w:rsidRPr="00B13525">
        <w:rPr>
          <w:rFonts w:ascii="Times New Roman" w:hAnsi="Times New Roman" w:cs="Times New Roman"/>
        </w:rPr>
        <w:t xml:space="preserve"> but they </w:t>
      </w:r>
      <w:r w:rsidRPr="00B13525">
        <w:rPr>
          <w:rFonts w:ascii="Times New Roman" w:hAnsi="Times New Roman" w:cs="Times New Roman"/>
        </w:rPr>
        <w:t xml:space="preserve">were </w:t>
      </w:r>
      <w:r w:rsidR="00B22497" w:rsidRPr="00B13525">
        <w:rPr>
          <w:rFonts w:ascii="Times New Roman" w:hAnsi="Times New Roman" w:cs="Times New Roman"/>
        </w:rPr>
        <w:t>“</w:t>
      </w:r>
      <w:r w:rsidRPr="00B13525">
        <w:rPr>
          <w:rFonts w:ascii="Times New Roman" w:hAnsi="Times New Roman" w:cs="Times New Roman"/>
        </w:rPr>
        <w:t>particular wrinkles</w:t>
      </w:r>
      <w:r w:rsidR="00B22497" w:rsidRPr="00B13525">
        <w:rPr>
          <w:rFonts w:ascii="Times New Roman" w:hAnsi="Times New Roman" w:cs="Times New Roman"/>
        </w:rPr>
        <w:t>”</w:t>
      </w:r>
      <w:r w:rsidRPr="00B13525">
        <w:rPr>
          <w:rFonts w:ascii="Times New Roman" w:hAnsi="Times New Roman" w:cs="Times New Roman"/>
        </w:rPr>
        <w:t xml:space="preserve"> in the statutory scheme</w:t>
      </w:r>
      <w:r w:rsidR="00106E69" w:rsidRPr="00B13525">
        <w:rPr>
          <w:rFonts w:ascii="Times New Roman" w:hAnsi="Times New Roman" w:cs="Times New Roman"/>
        </w:rPr>
        <w:t xml:space="preserve"> </w:t>
      </w:r>
      <w:r w:rsidRPr="00B13525">
        <w:rPr>
          <w:rFonts w:ascii="Times New Roman" w:hAnsi="Times New Roman" w:cs="Times New Roman"/>
        </w:rPr>
        <w:t>without</w:t>
      </w:r>
      <w:r w:rsidR="00106E69" w:rsidRPr="00B13525">
        <w:rPr>
          <w:rFonts w:ascii="Times New Roman" w:hAnsi="Times New Roman" w:cs="Times New Roman"/>
        </w:rPr>
        <w:t xml:space="preserve"> </w:t>
      </w:r>
      <w:r w:rsidRPr="00B13525">
        <w:rPr>
          <w:rFonts w:ascii="Times New Roman" w:hAnsi="Times New Roman" w:cs="Times New Roman"/>
        </w:rPr>
        <w:t xml:space="preserve">any wider significance. There was no indication that the draftsman had focused on compensation for injury to feelings at all. The difference in the tests for causation, too, </w:t>
      </w:r>
      <w:r w:rsidR="00B22497" w:rsidRPr="00B13525">
        <w:rPr>
          <w:rFonts w:ascii="Times New Roman" w:hAnsi="Times New Roman" w:cs="Times New Roman"/>
        </w:rPr>
        <w:t>“</w:t>
      </w:r>
      <w:r w:rsidRPr="00B13525">
        <w:rPr>
          <w:rFonts w:ascii="Times New Roman" w:hAnsi="Times New Roman" w:cs="Times New Roman"/>
        </w:rPr>
        <w:t>may have been inadvertent; or the draftsman may simply have taken the view that the difference would rarely matter in practice and that it would be too difficult to find a way of assimilating the two tests</w:t>
      </w:r>
      <w:r w:rsidR="00B22497" w:rsidRPr="00B13525">
        <w:rPr>
          <w:rFonts w:ascii="Times New Roman" w:hAnsi="Times New Roman" w:cs="Times New Roman"/>
        </w:rPr>
        <w:t>”</w:t>
      </w:r>
      <w:r w:rsidRPr="00B13525">
        <w:rPr>
          <w:rFonts w:ascii="Times New Roman" w:hAnsi="Times New Roman" w:cs="Times New Roman"/>
        </w:rPr>
        <w:t xml:space="preserve">. He acknowledged that Parliament could have changed the law about compensation for injury to feelings by amendment, if that did not reflect its intention, in the same way as it had filled the gap identified in </w:t>
      </w:r>
      <w:proofErr w:type="spellStart"/>
      <w:r w:rsidRPr="00B13525">
        <w:rPr>
          <w:rFonts w:ascii="Times New Roman" w:hAnsi="Times New Roman" w:cs="Times New Roman"/>
          <w:i/>
          <w:iCs/>
        </w:rPr>
        <w:t>Fecitt</w:t>
      </w:r>
      <w:proofErr w:type="spellEnd"/>
      <w:r w:rsidRPr="00B13525">
        <w:rPr>
          <w:rFonts w:ascii="Times New Roman" w:hAnsi="Times New Roman" w:cs="Times New Roman"/>
        </w:rPr>
        <w:t xml:space="preserve">; but that </w:t>
      </w:r>
      <w:r w:rsidR="00106E69" w:rsidRPr="00B13525">
        <w:rPr>
          <w:rFonts w:ascii="Times New Roman" w:hAnsi="Times New Roman" w:cs="Times New Roman"/>
        </w:rPr>
        <w:t>was</w:t>
      </w:r>
      <w:r w:rsidRPr="00B13525">
        <w:rPr>
          <w:rFonts w:ascii="Times New Roman" w:hAnsi="Times New Roman" w:cs="Times New Roman"/>
        </w:rPr>
        <w:t xml:space="preserve"> not always a safe assumption.</w:t>
      </w:r>
    </w:p>
    <w:p w14:paraId="495D8CC7" w14:textId="63EC40BD" w:rsidR="00BA1B4A"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lastRenderedPageBreak/>
        <w:t xml:space="preserve">He </w:t>
      </w:r>
      <w:r w:rsidR="00BA1B4A">
        <w:rPr>
          <w:rFonts w:ascii="Times New Roman" w:hAnsi="Times New Roman" w:cs="Times New Roman"/>
        </w:rPr>
        <w:t>con</w:t>
      </w:r>
      <w:r w:rsidR="00204BE4">
        <w:rPr>
          <w:rFonts w:ascii="Times New Roman" w:hAnsi="Times New Roman" w:cs="Times New Roman"/>
        </w:rPr>
        <w:t>tinued</w:t>
      </w:r>
      <w:r w:rsidR="00BA1B4A">
        <w:rPr>
          <w:rFonts w:ascii="Times New Roman" w:hAnsi="Times New Roman" w:cs="Times New Roman"/>
        </w:rPr>
        <w:t>:</w:t>
      </w:r>
    </w:p>
    <w:p w14:paraId="6D035C5E" w14:textId="776EDC07" w:rsidR="00BA1B4A" w:rsidRDefault="006B1C7C" w:rsidP="00AC2BC7">
      <w:pPr>
        <w:pStyle w:val="ListParagraph"/>
        <w:spacing w:before="120" w:after="360" w:line="240" w:lineRule="auto"/>
        <w:ind w:left="1134" w:right="1089"/>
        <w:contextualSpacing w:val="0"/>
        <w:jc w:val="both"/>
        <w:rPr>
          <w:rFonts w:ascii="Times New Roman" w:hAnsi="Times New Roman" w:cs="Times New Roman"/>
        </w:rPr>
      </w:pPr>
      <w:r>
        <w:rPr>
          <w:rFonts w:ascii="Times New Roman" w:hAnsi="Times New Roman" w:cs="Times New Roman"/>
        </w:rPr>
        <w:t>“</w:t>
      </w:r>
      <w:r w:rsidR="00BA1B4A" w:rsidRPr="00BA1B4A">
        <w:rPr>
          <w:rFonts w:ascii="Times New Roman" w:hAnsi="Times New Roman" w:cs="Times New Roman"/>
        </w:rPr>
        <w:t>75 I accordingly approach the construction of the language of</w:t>
      </w:r>
      <w:r w:rsidR="00BA1B4A" w:rsidRPr="006B1C7C">
        <w:rPr>
          <w:rFonts w:ascii="Times New Roman" w:hAnsi="Times New Roman" w:cs="Times New Roman"/>
        </w:rPr>
        <w:t xml:space="preserve"> </w:t>
      </w:r>
      <w:r w:rsidR="00BA1B4A" w:rsidRPr="00BA1B4A">
        <w:rPr>
          <w:rFonts w:ascii="Times New Roman" w:hAnsi="Times New Roman" w:cs="Times New Roman"/>
        </w:rPr>
        <w:t>section 47B(2) on the basis that I would expect Parliament to have intended to</w:t>
      </w:r>
      <w:r w:rsidR="00BA1B4A" w:rsidRPr="006B1C7C">
        <w:rPr>
          <w:rFonts w:ascii="Times New Roman" w:hAnsi="Times New Roman" w:cs="Times New Roman"/>
        </w:rPr>
        <w:t xml:space="preserve"> </w:t>
      </w:r>
      <w:r w:rsidR="00BA1B4A" w:rsidRPr="00BA1B4A">
        <w:rPr>
          <w:rFonts w:ascii="Times New Roman" w:hAnsi="Times New Roman" w:cs="Times New Roman"/>
        </w:rPr>
        <w:t xml:space="preserve">exclude liability under the operative provisions of the section only where </w:t>
      </w:r>
      <w:r w:rsidR="00BA1B4A" w:rsidRPr="00BA1B4A">
        <w:rPr>
          <w:rFonts w:ascii="Times New Roman" w:hAnsi="Times New Roman" w:cs="Times New Roman"/>
          <w:i/>
          <w:iCs/>
        </w:rPr>
        <w:t>the</w:t>
      </w:r>
      <w:r w:rsidR="00BA1B4A" w:rsidRPr="006B1C7C">
        <w:rPr>
          <w:rFonts w:ascii="Times New Roman" w:hAnsi="Times New Roman" w:cs="Times New Roman"/>
          <w:i/>
          <w:iCs/>
        </w:rPr>
        <w:t xml:space="preserve"> </w:t>
      </w:r>
      <w:r w:rsidR="00BA1B4A" w:rsidRPr="00BA1B4A">
        <w:rPr>
          <w:rFonts w:ascii="Times New Roman" w:hAnsi="Times New Roman" w:cs="Times New Roman"/>
          <w:i/>
          <w:iCs/>
        </w:rPr>
        <w:t>identical remedy</w:t>
      </w:r>
      <w:r w:rsidR="00BA1B4A" w:rsidRPr="00BA1B4A">
        <w:rPr>
          <w:rFonts w:ascii="Times New Roman" w:hAnsi="Times New Roman" w:cs="Times New Roman"/>
        </w:rPr>
        <w:t xml:space="preserve"> was available under section 103A; and thus that it would not</w:t>
      </w:r>
      <w:r w:rsidR="00BA1B4A" w:rsidRPr="006B1C7C">
        <w:rPr>
          <w:rFonts w:ascii="Times New Roman" w:hAnsi="Times New Roman" w:cs="Times New Roman"/>
        </w:rPr>
        <w:t xml:space="preserve"> </w:t>
      </w:r>
      <w:r w:rsidR="00BA1B4A" w:rsidRPr="00BA1B4A">
        <w:rPr>
          <w:rFonts w:ascii="Times New Roman" w:hAnsi="Times New Roman" w:cs="Times New Roman"/>
        </w:rPr>
        <w:t>exclude a co-worker</w:t>
      </w:r>
      <w:r w:rsidR="00BA1B4A" w:rsidRPr="006B1C7C">
        <w:rPr>
          <w:rFonts w:ascii="Times New Roman" w:hAnsi="Times New Roman" w:cs="Times New Roman"/>
        </w:rPr>
        <w:t>’</w:t>
      </w:r>
      <w:r w:rsidR="00BA1B4A" w:rsidRPr="00BA1B4A">
        <w:rPr>
          <w:rFonts w:ascii="Times New Roman" w:hAnsi="Times New Roman" w:cs="Times New Roman"/>
        </w:rPr>
        <w:t>s individual liability for the detriment of dismissal under</w:t>
      </w:r>
      <w:r w:rsidR="00BA1B4A" w:rsidRPr="006B1C7C">
        <w:rPr>
          <w:rFonts w:ascii="Times New Roman" w:hAnsi="Times New Roman" w:cs="Times New Roman"/>
        </w:rPr>
        <w:t xml:space="preserve"> </w:t>
      </w:r>
      <w:r w:rsidR="00BA1B4A" w:rsidRPr="00BA1B4A">
        <w:rPr>
          <w:rFonts w:ascii="Times New Roman" w:hAnsi="Times New Roman" w:cs="Times New Roman"/>
        </w:rPr>
        <w:t>subsection (1A) (or, which follows, any vicarious liability of the employer</w:t>
      </w:r>
      <w:r w:rsidR="00BA1B4A" w:rsidRPr="006B1C7C">
        <w:rPr>
          <w:rFonts w:ascii="Times New Roman" w:hAnsi="Times New Roman" w:cs="Times New Roman"/>
        </w:rPr>
        <w:t xml:space="preserve"> </w:t>
      </w:r>
      <w:r w:rsidR="00BA1B4A" w:rsidRPr="00BA1B4A">
        <w:rPr>
          <w:rFonts w:ascii="Times New Roman" w:hAnsi="Times New Roman" w:cs="Times New Roman"/>
        </w:rPr>
        <w:t>under subsection (1B)). I do not believe that the statutory language compels a</w:t>
      </w:r>
      <w:r w:rsidRPr="006B1C7C">
        <w:rPr>
          <w:rFonts w:ascii="Times New Roman" w:hAnsi="Times New Roman" w:cs="Times New Roman"/>
        </w:rPr>
        <w:t xml:space="preserve"> </w:t>
      </w:r>
      <w:r w:rsidR="00BA1B4A" w:rsidRPr="006B1C7C">
        <w:rPr>
          <w:rFonts w:ascii="Times New Roman" w:hAnsi="Times New Roman" w:cs="Times New Roman"/>
        </w:rPr>
        <w:t>di</w:t>
      </w:r>
      <w:r>
        <w:rPr>
          <w:rFonts w:ascii="Times New Roman" w:hAnsi="Times New Roman" w:cs="Times New Roman"/>
        </w:rPr>
        <w:t>ff</w:t>
      </w:r>
      <w:r w:rsidR="00BA1B4A" w:rsidRPr="006B1C7C">
        <w:rPr>
          <w:rFonts w:ascii="Times New Roman" w:hAnsi="Times New Roman" w:cs="Times New Roman"/>
        </w:rPr>
        <w:t>erent construction.</w:t>
      </w:r>
      <w:r>
        <w:rPr>
          <w:rFonts w:ascii="Times New Roman" w:hAnsi="Times New Roman" w:cs="Times New Roman"/>
        </w:rPr>
        <w:t>”</w:t>
      </w:r>
    </w:p>
    <w:p w14:paraId="44830B97" w14:textId="66A55476" w:rsidR="006B1C7C" w:rsidRPr="006B1C7C" w:rsidRDefault="006B1C7C" w:rsidP="00AC2BC7">
      <w:pPr>
        <w:pStyle w:val="ListParagraph"/>
        <w:spacing w:before="120" w:after="360" w:line="240" w:lineRule="auto"/>
        <w:ind w:left="1134" w:right="1089"/>
        <w:contextualSpacing w:val="0"/>
        <w:jc w:val="both"/>
        <w:rPr>
          <w:rFonts w:ascii="Times New Roman" w:hAnsi="Times New Roman" w:cs="Times New Roman"/>
        </w:rPr>
      </w:pPr>
      <w:r>
        <w:rPr>
          <w:rFonts w:ascii="Times New Roman" w:hAnsi="Times New Roman" w:cs="Times New Roman"/>
        </w:rPr>
        <w:t>(our emphasis)</w:t>
      </w:r>
    </w:p>
    <w:p w14:paraId="3C7222FD" w14:textId="415D88C9" w:rsidR="00E367D5"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A20AEC">
        <w:rPr>
          <w:rFonts w:ascii="Times New Roman" w:hAnsi="Times New Roman" w:cs="Times New Roman"/>
        </w:rPr>
        <w:t xml:space="preserve">He </w:t>
      </w:r>
      <w:r w:rsidR="000A0884">
        <w:rPr>
          <w:rFonts w:ascii="Times New Roman" w:hAnsi="Times New Roman" w:cs="Times New Roman"/>
        </w:rPr>
        <w:t xml:space="preserve">therefore reached this </w:t>
      </w:r>
      <w:r w:rsidR="004C5E6D">
        <w:rPr>
          <w:rFonts w:ascii="Times New Roman" w:hAnsi="Times New Roman" w:cs="Times New Roman"/>
        </w:rPr>
        <w:t>conclusion</w:t>
      </w:r>
      <w:r w:rsidR="00E367D5">
        <w:rPr>
          <w:rFonts w:ascii="Times New Roman" w:hAnsi="Times New Roman" w:cs="Times New Roman"/>
        </w:rPr>
        <w:t>:</w:t>
      </w:r>
    </w:p>
    <w:p w14:paraId="67395A3E" w14:textId="6C03B323" w:rsidR="004C5E6D" w:rsidRDefault="00B05747" w:rsidP="00AC2BC7">
      <w:pPr>
        <w:pStyle w:val="ListParagraph"/>
        <w:spacing w:before="120" w:after="360" w:line="240" w:lineRule="auto"/>
        <w:ind w:left="1134" w:right="1089"/>
        <w:jc w:val="both"/>
        <w:rPr>
          <w:rFonts w:ascii="Times New Roman" w:hAnsi="Times New Roman" w:cs="Times New Roman"/>
        </w:rPr>
      </w:pPr>
      <w:r>
        <w:rPr>
          <w:rFonts w:ascii="Times New Roman" w:hAnsi="Times New Roman" w:cs="Times New Roman"/>
        </w:rPr>
        <w:t>“</w:t>
      </w:r>
      <w:r w:rsidR="000A0884" w:rsidRPr="000A0884">
        <w:rPr>
          <w:rFonts w:ascii="Times New Roman" w:hAnsi="Times New Roman" w:cs="Times New Roman"/>
        </w:rPr>
        <w:t>77 I would accordingly hold that section 47B(2) does not prevent the</w:t>
      </w:r>
      <w:r w:rsidR="004C5E6D">
        <w:rPr>
          <w:rFonts w:ascii="Times New Roman" w:hAnsi="Times New Roman" w:cs="Times New Roman"/>
        </w:rPr>
        <w:t xml:space="preserve"> </w:t>
      </w:r>
      <w:r w:rsidR="000A0884" w:rsidRPr="000A0884">
        <w:rPr>
          <w:rFonts w:ascii="Times New Roman" w:hAnsi="Times New Roman" w:cs="Times New Roman"/>
        </w:rPr>
        <w:t xml:space="preserve">claimant proceeding against the appellant directors under Part V </w:t>
      </w:r>
      <w:proofErr w:type="gramStart"/>
      <w:r w:rsidR="000A0884" w:rsidRPr="000A0884">
        <w:rPr>
          <w:rFonts w:ascii="Times New Roman" w:hAnsi="Times New Roman" w:cs="Times New Roman"/>
        </w:rPr>
        <w:t>on the basis</w:t>
      </w:r>
      <w:r w:rsidR="004C5E6D">
        <w:rPr>
          <w:rFonts w:ascii="Times New Roman" w:hAnsi="Times New Roman" w:cs="Times New Roman"/>
        </w:rPr>
        <w:t xml:space="preserve"> </w:t>
      </w:r>
      <w:r w:rsidR="000A0884" w:rsidRPr="000A0884">
        <w:rPr>
          <w:rFonts w:ascii="Times New Roman" w:hAnsi="Times New Roman" w:cs="Times New Roman"/>
        </w:rPr>
        <w:t>of</w:t>
      </w:r>
      <w:proofErr w:type="gramEnd"/>
      <w:r w:rsidR="000A0884" w:rsidRPr="000A0884">
        <w:rPr>
          <w:rFonts w:ascii="Times New Roman" w:hAnsi="Times New Roman" w:cs="Times New Roman"/>
        </w:rPr>
        <w:t xml:space="preserve"> their responsibility for the dismissal itself.</w:t>
      </w:r>
    </w:p>
    <w:p w14:paraId="557F9BC1" w14:textId="77777777" w:rsidR="00204BE4" w:rsidRDefault="00204BE4" w:rsidP="00AC2BC7">
      <w:pPr>
        <w:pStyle w:val="ListParagraph"/>
        <w:spacing w:before="120" w:after="360" w:line="240" w:lineRule="auto"/>
        <w:ind w:left="1134" w:right="1089"/>
        <w:jc w:val="both"/>
        <w:rPr>
          <w:rFonts w:ascii="Times New Roman" w:hAnsi="Times New Roman" w:cs="Times New Roman"/>
        </w:rPr>
      </w:pPr>
    </w:p>
    <w:p w14:paraId="0D35340A" w14:textId="2CCD9E29" w:rsidR="00876D67" w:rsidRDefault="001C511B" w:rsidP="00AC2BC7">
      <w:pPr>
        <w:pStyle w:val="ListParagraph"/>
        <w:spacing w:before="120" w:after="360" w:line="240" w:lineRule="auto"/>
        <w:ind w:left="1134" w:right="1089"/>
        <w:jc w:val="both"/>
        <w:rPr>
          <w:rFonts w:ascii="Times New Roman" w:hAnsi="Times New Roman" w:cs="Times New Roman"/>
        </w:rPr>
      </w:pPr>
      <w:r w:rsidRPr="001C511B">
        <w:rPr>
          <w:rFonts w:ascii="Times New Roman" w:hAnsi="Times New Roman" w:cs="Times New Roman"/>
        </w:rPr>
        <w:t>78 I accept that this approach to the meaning of section 47B(2) does</w:t>
      </w:r>
      <w:r>
        <w:rPr>
          <w:rFonts w:ascii="Times New Roman" w:hAnsi="Times New Roman" w:cs="Times New Roman"/>
        </w:rPr>
        <w:t xml:space="preserve"> </w:t>
      </w:r>
      <w:r w:rsidRPr="001C511B">
        <w:rPr>
          <w:rFonts w:ascii="Times New Roman" w:hAnsi="Times New Roman" w:cs="Times New Roman"/>
        </w:rPr>
        <w:t>not produce a particularly elegant result. It is clumsy that an employee</w:t>
      </w:r>
      <w:r>
        <w:rPr>
          <w:rFonts w:ascii="Times New Roman" w:hAnsi="Times New Roman" w:cs="Times New Roman"/>
        </w:rPr>
        <w:t xml:space="preserve"> </w:t>
      </w:r>
      <w:r w:rsidRPr="001C511B">
        <w:rPr>
          <w:rFonts w:ascii="Times New Roman" w:hAnsi="Times New Roman" w:cs="Times New Roman"/>
        </w:rPr>
        <w:t>dismissed on whistleblower grounds should be able to pursue distinct causes</w:t>
      </w:r>
      <w:r>
        <w:rPr>
          <w:rFonts w:ascii="Times New Roman" w:hAnsi="Times New Roman" w:cs="Times New Roman"/>
        </w:rPr>
        <w:t xml:space="preserve"> </w:t>
      </w:r>
      <w:r w:rsidRPr="001C511B">
        <w:rPr>
          <w:rFonts w:ascii="Times New Roman" w:hAnsi="Times New Roman" w:cs="Times New Roman"/>
        </w:rPr>
        <w:t>of action, with signi</w:t>
      </w:r>
      <w:r>
        <w:rPr>
          <w:rFonts w:ascii="Times New Roman" w:hAnsi="Times New Roman" w:cs="Times New Roman"/>
        </w:rPr>
        <w:t>fi</w:t>
      </w:r>
      <w:r w:rsidRPr="001C511B">
        <w:rPr>
          <w:rFonts w:ascii="Times New Roman" w:hAnsi="Times New Roman" w:cs="Times New Roman"/>
        </w:rPr>
        <w:t>cant di</w:t>
      </w:r>
      <w:r>
        <w:rPr>
          <w:rFonts w:ascii="Times New Roman" w:hAnsi="Times New Roman" w:cs="Times New Roman"/>
        </w:rPr>
        <w:t>ff</w:t>
      </w:r>
      <w:r w:rsidRPr="001C511B">
        <w:rPr>
          <w:rFonts w:ascii="Times New Roman" w:hAnsi="Times New Roman" w:cs="Times New Roman"/>
        </w:rPr>
        <w:t>erences as regards the conditions of liability</w:t>
      </w:r>
      <w:r>
        <w:rPr>
          <w:rFonts w:ascii="Times New Roman" w:hAnsi="Times New Roman" w:cs="Times New Roman"/>
        </w:rPr>
        <w:t xml:space="preserve"> </w:t>
      </w:r>
      <w:r w:rsidRPr="001C511B">
        <w:rPr>
          <w:rFonts w:ascii="Times New Roman" w:hAnsi="Times New Roman" w:cs="Times New Roman"/>
        </w:rPr>
        <w:t xml:space="preserve">and (perhaps) compensation, against his or her employer. </w:t>
      </w:r>
      <w:r w:rsidR="00876D67" w:rsidRPr="00A20AEC">
        <w:rPr>
          <w:rFonts w:ascii="Times New Roman" w:hAnsi="Times New Roman" w:cs="Times New Roman"/>
        </w:rPr>
        <w:t>It may well be that Parliament did not really think through the technical challenges of inserting into the framework of the 1996 Act a scheme of individual liability largely borrowed from the discrimination legislation. But the resulting awkwardnesses are insufficient to justify a construction that would produce much more serious anomalies and seems contrary to the overall policy of these provisions</w:t>
      </w:r>
      <w:r w:rsidR="00B91432" w:rsidRPr="00A20AEC">
        <w:rPr>
          <w:rFonts w:ascii="Times New Roman" w:hAnsi="Times New Roman" w:cs="Times New Roman"/>
        </w:rPr>
        <w:t>”</w:t>
      </w:r>
      <w:r w:rsidR="00A20AEC">
        <w:rPr>
          <w:rFonts w:ascii="Times New Roman" w:hAnsi="Times New Roman" w:cs="Times New Roman"/>
        </w:rPr>
        <w:t>.</w:t>
      </w:r>
    </w:p>
    <w:p w14:paraId="424704C9" w14:textId="77777777" w:rsidR="003D6CEB" w:rsidRPr="00A20AEC" w:rsidRDefault="003D6CEB" w:rsidP="00AC2BC7">
      <w:pPr>
        <w:pStyle w:val="ListParagraph"/>
        <w:spacing w:before="120" w:after="360" w:line="240" w:lineRule="auto"/>
        <w:ind w:left="1134" w:right="1089"/>
        <w:jc w:val="both"/>
        <w:rPr>
          <w:rFonts w:ascii="Times New Roman" w:hAnsi="Times New Roman" w:cs="Times New Roman"/>
        </w:rPr>
      </w:pPr>
    </w:p>
    <w:p w14:paraId="7DA1D715" w14:textId="2CBAD64C" w:rsidR="00876D67" w:rsidRPr="009E2232" w:rsidRDefault="00A20AEC"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9E2232">
        <w:rPr>
          <w:rFonts w:ascii="Times New Roman" w:hAnsi="Times New Roman" w:cs="Times New Roman"/>
        </w:rPr>
        <w:t xml:space="preserve">Referring to the decision in </w:t>
      </w:r>
      <w:r w:rsidRPr="009E2232">
        <w:rPr>
          <w:rFonts w:ascii="Times New Roman" w:hAnsi="Times New Roman" w:cs="Times New Roman"/>
          <w:i/>
          <w:iCs/>
        </w:rPr>
        <w:t>Melia,</w:t>
      </w:r>
      <w:r w:rsidR="005F37E2" w:rsidRPr="009E2232">
        <w:rPr>
          <w:rFonts w:ascii="Times New Roman" w:hAnsi="Times New Roman" w:cs="Times New Roman"/>
          <w:i/>
          <w:iCs/>
        </w:rPr>
        <w:t xml:space="preserve"> </w:t>
      </w:r>
      <w:r w:rsidR="005F37E2" w:rsidRPr="009E2232">
        <w:rPr>
          <w:rFonts w:ascii="Times New Roman" w:hAnsi="Times New Roman" w:cs="Times New Roman"/>
        </w:rPr>
        <w:t>Underhill LJ said t</w:t>
      </w:r>
      <w:r w:rsidR="00E37677" w:rsidRPr="009E2232">
        <w:rPr>
          <w:rFonts w:ascii="Times New Roman" w:hAnsi="Times New Roman" w:cs="Times New Roman"/>
        </w:rPr>
        <w:t>h</w:t>
      </w:r>
      <w:r w:rsidR="005F37E2" w:rsidRPr="009E2232">
        <w:rPr>
          <w:rFonts w:ascii="Times New Roman" w:hAnsi="Times New Roman" w:cs="Times New Roman"/>
        </w:rPr>
        <w:t xml:space="preserve">at his analysis of the </w:t>
      </w:r>
      <w:r w:rsidR="00E37677" w:rsidRPr="009E2232">
        <w:rPr>
          <w:rFonts w:ascii="Times New Roman" w:hAnsi="Times New Roman" w:cs="Times New Roman"/>
        </w:rPr>
        <w:t xml:space="preserve">legislative policy was substantially the same as that of Chadwick LJ, but that </w:t>
      </w:r>
      <w:r w:rsidR="004E7502" w:rsidRPr="009E2232">
        <w:rPr>
          <w:rFonts w:ascii="Times New Roman" w:hAnsi="Times New Roman" w:cs="Times New Roman"/>
          <w:i/>
          <w:iCs/>
        </w:rPr>
        <w:t>Me</w:t>
      </w:r>
      <w:r w:rsidR="004E7502">
        <w:rPr>
          <w:rFonts w:ascii="Times New Roman" w:hAnsi="Times New Roman" w:cs="Times New Roman"/>
          <w:i/>
          <w:iCs/>
        </w:rPr>
        <w:t>li</w:t>
      </w:r>
      <w:r w:rsidR="004E7502" w:rsidRPr="009E2232">
        <w:rPr>
          <w:rFonts w:ascii="Times New Roman" w:hAnsi="Times New Roman" w:cs="Times New Roman"/>
          <w:i/>
          <w:iCs/>
        </w:rPr>
        <w:t>a</w:t>
      </w:r>
      <w:r w:rsidR="004E7502" w:rsidRPr="009E2232">
        <w:rPr>
          <w:rFonts w:ascii="Times New Roman" w:hAnsi="Times New Roman" w:cs="Times New Roman"/>
        </w:rPr>
        <w:t xml:space="preserve"> </w:t>
      </w:r>
      <w:r w:rsidR="00E37677" w:rsidRPr="009E2232">
        <w:rPr>
          <w:rFonts w:ascii="Times New Roman" w:hAnsi="Times New Roman" w:cs="Times New Roman"/>
        </w:rPr>
        <w:t xml:space="preserve">concerned a different issue and </w:t>
      </w:r>
      <w:r w:rsidR="009E2232" w:rsidRPr="009E2232">
        <w:rPr>
          <w:rFonts w:ascii="Times New Roman" w:hAnsi="Times New Roman" w:cs="Times New Roman"/>
        </w:rPr>
        <w:t>was decided before the 2013 Act</w:t>
      </w:r>
      <w:r w:rsidR="00E37677" w:rsidRPr="009E2232">
        <w:rPr>
          <w:rFonts w:ascii="Times New Roman" w:hAnsi="Times New Roman" w:cs="Times New Roman"/>
        </w:rPr>
        <w:t xml:space="preserve">. </w:t>
      </w:r>
      <w:r w:rsidR="009E2232" w:rsidRPr="009E2232">
        <w:rPr>
          <w:rFonts w:ascii="Times New Roman" w:hAnsi="Times New Roman" w:cs="Times New Roman"/>
        </w:rPr>
        <w:t>At that time the phrases “the same loss or detriment” and “the identical claim”</w:t>
      </w:r>
      <w:r w:rsidRPr="009E2232">
        <w:rPr>
          <w:rFonts w:ascii="Times New Roman" w:hAnsi="Times New Roman" w:cs="Times New Roman"/>
          <w:i/>
          <w:iCs/>
        </w:rPr>
        <w:t xml:space="preserve"> </w:t>
      </w:r>
      <w:r w:rsidR="00876D67" w:rsidRPr="009E2232">
        <w:rPr>
          <w:rFonts w:ascii="Times New Roman" w:hAnsi="Times New Roman" w:cs="Times New Roman"/>
        </w:rPr>
        <w:t>necessarily meant the same thing. A more refined approach was</w:t>
      </w:r>
      <w:r w:rsidR="00F4054A">
        <w:rPr>
          <w:rFonts w:ascii="Times New Roman" w:hAnsi="Times New Roman" w:cs="Times New Roman"/>
        </w:rPr>
        <w:t xml:space="preserve"> now required.</w:t>
      </w:r>
      <w:r w:rsidR="00876D67" w:rsidRPr="009E2232">
        <w:rPr>
          <w:rFonts w:ascii="Times New Roman" w:hAnsi="Times New Roman" w:cs="Times New Roman"/>
        </w:rPr>
        <w:t xml:space="preserve"> </w:t>
      </w:r>
    </w:p>
    <w:p w14:paraId="44C52F4C" w14:textId="2B985D50" w:rsidR="00876D67" w:rsidRDefault="00876D67"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AE2522">
        <w:rPr>
          <w:rFonts w:ascii="Times New Roman" w:hAnsi="Times New Roman" w:cs="Times New Roman"/>
        </w:rPr>
        <w:t xml:space="preserve">Underhill LJ </w:t>
      </w:r>
      <w:r w:rsidR="00A950FB">
        <w:rPr>
          <w:rFonts w:ascii="Times New Roman" w:hAnsi="Times New Roman" w:cs="Times New Roman"/>
        </w:rPr>
        <w:t xml:space="preserve">finally </w:t>
      </w:r>
      <w:r w:rsidRPr="00AE2522">
        <w:rPr>
          <w:rFonts w:ascii="Times New Roman" w:hAnsi="Times New Roman" w:cs="Times New Roman"/>
        </w:rPr>
        <w:t>summarised his</w:t>
      </w:r>
      <w:r>
        <w:rPr>
          <w:rFonts w:ascii="Times New Roman" w:hAnsi="Times New Roman" w:cs="Times New Roman"/>
        </w:rPr>
        <w:t xml:space="preserve"> </w:t>
      </w:r>
      <w:r w:rsidR="00721230">
        <w:rPr>
          <w:rFonts w:ascii="Times New Roman" w:hAnsi="Times New Roman" w:cs="Times New Roman"/>
        </w:rPr>
        <w:t>con</w:t>
      </w:r>
      <w:r w:rsidR="00A950FB">
        <w:rPr>
          <w:rFonts w:ascii="Times New Roman" w:hAnsi="Times New Roman" w:cs="Times New Roman"/>
        </w:rPr>
        <w:t>s</w:t>
      </w:r>
      <w:r w:rsidR="00721230">
        <w:rPr>
          <w:rFonts w:ascii="Times New Roman" w:hAnsi="Times New Roman" w:cs="Times New Roman"/>
        </w:rPr>
        <w:t>truction</w:t>
      </w:r>
      <w:r w:rsidR="00D2584A">
        <w:rPr>
          <w:rFonts w:ascii="Times New Roman" w:hAnsi="Times New Roman" w:cs="Times New Roman"/>
        </w:rPr>
        <w:t xml:space="preserve"> of section </w:t>
      </w:r>
      <w:r w:rsidR="00AE6708">
        <w:rPr>
          <w:rFonts w:ascii="Times New Roman" w:hAnsi="Times New Roman" w:cs="Times New Roman"/>
        </w:rPr>
        <w:t>47B</w:t>
      </w:r>
      <w:r w:rsidR="00D2584A">
        <w:rPr>
          <w:rFonts w:ascii="Times New Roman" w:hAnsi="Times New Roman" w:cs="Times New Roman"/>
        </w:rPr>
        <w:t>(2)</w:t>
      </w:r>
      <w:r w:rsidR="00AB5DA9">
        <w:rPr>
          <w:rFonts w:ascii="Times New Roman" w:hAnsi="Times New Roman" w:cs="Times New Roman"/>
        </w:rPr>
        <w:t>:</w:t>
      </w:r>
      <w:r>
        <w:rPr>
          <w:rFonts w:ascii="Times New Roman" w:hAnsi="Times New Roman" w:cs="Times New Roman"/>
        </w:rPr>
        <w:t xml:space="preserve"> </w:t>
      </w:r>
    </w:p>
    <w:p w14:paraId="24A87696" w14:textId="77777777" w:rsidR="00A950FB" w:rsidRPr="00D2584A" w:rsidRDefault="00A950FB" w:rsidP="00AC2BC7">
      <w:pPr>
        <w:pStyle w:val="ListParagraph"/>
        <w:spacing w:before="120" w:after="360" w:line="240" w:lineRule="auto"/>
        <w:ind w:right="1089"/>
        <w:contextualSpacing w:val="0"/>
        <w:jc w:val="both"/>
        <w:rPr>
          <w:rFonts w:ascii="Times New Roman" w:hAnsi="Times New Roman" w:cs="Times New Roman"/>
        </w:rPr>
      </w:pPr>
      <w:r>
        <w:rPr>
          <w:rFonts w:ascii="Times New Roman" w:hAnsi="Times New Roman" w:cs="Times New Roman"/>
        </w:rPr>
        <w:t>“91 …I can su</w:t>
      </w:r>
      <w:r w:rsidRPr="00D2584A">
        <w:rPr>
          <w:rFonts w:ascii="Times New Roman" w:hAnsi="Times New Roman" w:cs="Times New Roman"/>
        </w:rPr>
        <w:t>mmarise my essential conclusions as follows.</w:t>
      </w:r>
    </w:p>
    <w:p w14:paraId="6DDA3148" w14:textId="77777777" w:rsidR="00A950FB" w:rsidRPr="00D2584A" w:rsidRDefault="00A950FB" w:rsidP="00AC2BC7">
      <w:pPr>
        <w:pStyle w:val="ListParagraph"/>
        <w:spacing w:before="120" w:after="360" w:line="240" w:lineRule="auto"/>
        <w:ind w:right="1089"/>
        <w:contextualSpacing w:val="0"/>
        <w:jc w:val="both"/>
        <w:rPr>
          <w:rFonts w:ascii="Times New Roman" w:hAnsi="Times New Roman" w:cs="Times New Roman"/>
        </w:rPr>
      </w:pPr>
      <w:r w:rsidRPr="00D2584A">
        <w:rPr>
          <w:rFonts w:ascii="Times New Roman" w:hAnsi="Times New Roman" w:cs="Times New Roman"/>
        </w:rPr>
        <w:t>(1) It is open to an employee to bring a claim under section 47B(1A)</w:t>
      </w:r>
      <w:r>
        <w:rPr>
          <w:rFonts w:ascii="Times New Roman" w:hAnsi="Times New Roman" w:cs="Times New Roman"/>
        </w:rPr>
        <w:t xml:space="preserve"> </w:t>
      </w:r>
      <w:r w:rsidRPr="00D2584A">
        <w:rPr>
          <w:rFonts w:ascii="Times New Roman" w:hAnsi="Times New Roman" w:cs="Times New Roman"/>
        </w:rPr>
        <w:t>against an individual co-worker for subjecting him or her to the detriment of</w:t>
      </w:r>
      <w:r>
        <w:rPr>
          <w:rFonts w:ascii="Times New Roman" w:hAnsi="Times New Roman" w:cs="Times New Roman"/>
        </w:rPr>
        <w:t xml:space="preserve"> </w:t>
      </w:r>
      <w:r w:rsidRPr="00D2584A">
        <w:rPr>
          <w:rFonts w:ascii="Times New Roman" w:hAnsi="Times New Roman" w:cs="Times New Roman"/>
        </w:rPr>
        <w:t>dismissal, i</w:t>
      </w:r>
      <w:r>
        <w:rPr>
          <w:rFonts w:ascii="Times New Roman" w:hAnsi="Times New Roman" w:cs="Times New Roman"/>
        </w:rPr>
        <w:t>.</w:t>
      </w:r>
      <w:r w:rsidRPr="00D2584A">
        <w:rPr>
          <w:rFonts w:ascii="Times New Roman" w:hAnsi="Times New Roman" w:cs="Times New Roman"/>
        </w:rPr>
        <w:t>e</w:t>
      </w:r>
      <w:r>
        <w:rPr>
          <w:rFonts w:ascii="Times New Roman" w:hAnsi="Times New Roman" w:cs="Times New Roman"/>
        </w:rPr>
        <w:t>.</w:t>
      </w:r>
      <w:r w:rsidRPr="00D2584A">
        <w:rPr>
          <w:rFonts w:ascii="Times New Roman" w:hAnsi="Times New Roman" w:cs="Times New Roman"/>
        </w:rPr>
        <w:t xml:space="preserve"> for being a party to the decision to dismiss; and to bring a claim</w:t>
      </w:r>
      <w:r>
        <w:rPr>
          <w:rFonts w:ascii="Times New Roman" w:hAnsi="Times New Roman" w:cs="Times New Roman"/>
        </w:rPr>
        <w:t xml:space="preserve"> </w:t>
      </w:r>
      <w:r w:rsidRPr="00D2584A">
        <w:rPr>
          <w:rFonts w:ascii="Times New Roman" w:hAnsi="Times New Roman" w:cs="Times New Roman"/>
        </w:rPr>
        <w:t>of vicarious liability for that act against the employer under section 47B(1B).</w:t>
      </w:r>
      <w:r>
        <w:rPr>
          <w:rFonts w:ascii="Times New Roman" w:hAnsi="Times New Roman" w:cs="Times New Roman"/>
        </w:rPr>
        <w:t xml:space="preserve"> </w:t>
      </w:r>
      <w:r w:rsidRPr="00D2584A">
        <w:rPr>
          <w:rFonts w:ascii="Times New Roman" w:hAnsi="Times New Roman" w:cs="Times New Roman"/>
        </w:rPr>
        <w:t>All that section 47B(2) excludes is a claim against the employer in respect of</w:t>
      </w:r>
      <w:r>
        <w:rPr>
          <w:rFonts w:ascii="Times New Roman" w:hAnsi="Times New Roman" w:cs="Times New Roman"/>
        </w:rPr>
        <w:t xml:space="preserve"> </w:t>
      </w:r>
      <w:r w:rsidRPr="00D2584A">
        <w:rPr>
          <w:rFonts w:ascii="Times New Roman" w:hAnsi="Times New Roman" w:cs="Times New Roman"/>
        </w:rPr>
        <w:t>its own act of dismissal.</w:t>
      </w:r>
    </w:p>
    <w:p w14:paraId="66A17A5C" w14:textId="77777777" w:rsidR="00A950FB" w:rsidRDefault="00A950FB" w:rsidP="00AC2BC7">
      <w:pPr>
        <w:pStyle w:val="ListParagraph"/>
        <w:spacing w:before="120" w:after="360" w:line="240" w:lineRule="auto"/>
        <w:ind w:right="1089"/>
        <w:contextualSpacing w:val="0"/>
        <w:jc w:val="both"/>
        <w:rPr>
          <w:rFonts w:ascii="Times New Roman" w:hAnsi="Times New Roman" w:cs="Times New Roman"/>
        </w:rPr>
      </w:pPr>
      <w:r w:rsidRPr="00D2584A">
        <w:rPr>
          <w:rFonts w:ascii="Times New Roman" w:hAnsi="Times New Roman" w:cs="Times New Roman"/>
        </w:rPr>
        <w:lastRenderedPageBreak/>
        <w:t>(2) As regards a claim based on a distinct prior detrimental act done by a</w:t>
      </w:r>
      <w:r>
        <w:rPr>
          <w:rFonts w:ascii="Times New Roman" w:hAnsi="Times New Roman" w:cs="Times New Roman"/>
        </w:rPr>
        <w:t xml:space="preserve"> </w:t>
      </w:r>
      <w:r w:rsidRPr="00D2584A">
        <w:rPr>
          <w:rFonts w:ascii="Times New Roman" w:hAnsi="Times New Roman" w:cs="Times New Roman"/>
        </w:rPr>
        <w:t>co-worker which results in the claimant</w:t>
      </w:r>
      <w:r>
        <w:rPr>
          <w:rFonts w:ascii="Times New Roman" w:hAnsi="Times New Roman" w:cs="Times New Roman"/>
        </w:rPr>
        <w:t>’</w:t>
      </w:r>
      <w:r w:rsidRPr="00D2584A">
        <w:rPr>
          <w:rFonts w:ascii="Times New Roman" w:hAnsi="Times New Roman" w:cs="Times New Roman"/>
        </w:rPr>
        <w:t>s dismissal, section 47B(2) does not</w:t>
      </w:r>
      <w:r>
        <w:rPr>
          <w:rFonts w:ascii="Times New Roman" w:hAnsi="Times New Roman" w:cs="Times New Roman"/>
        </w:rPr>
        <w:t xml:space="preserve"> </w:t>
      </w:r>
      <w:r w:rsidRPr="00D2584A">
        <w:rPr>
          <w:rFonts w:ascii="Times New Roman" w:hAnsi="Times New Roman" w:cs="Times New Roman"/>
        </w:rPr>
        <w:t>preclude recovery in respect of losses</w:t>
      </w:r>
      <w:r>
        <w:rPr>
          <w:rFonts w:ascii="Times New Roman" w:hAnsi="Times New Roman" w:cs="Times New Roman"/>
        </w:rPr>
        <w:t xml:space="preserve"> fl</w:t>
      </w:r>
      <w:r w:rsidRPr="00D2584A">
        <w:rPr>
          <w:rFonts w:ascii="Times New Roman" w:hAnsi="Times New Roman" w:cs="Times New Roman"/>
        </w:rPr>
        <w:t>owing from the dismissal, though the</w:t>
      </w:r>
      <w:r>
        <w:rPr>
          <w:rFonts w:ascii="Times New Roman" w:hAnsi="Times New Roman" w:cs="Times New Roman"/>
        </w:rPr>
        <w:t xml:space="preserve"> </w:t>
      </w:r>
      <w:r w:rsidRPr="00D2584A">
        <w:rPr>
          <w:rFonts w:ascii="Times New Roman" w:hAnsi="Times New Roman" w:cs="Times New Roman"/>
        </w:rPr>
        <w:t>usual rules about remoteness and the quanti</w:t>
      </w:r>
      <w:r>
        <w:rPr>
          <w:rFonts w:ascii="Times New Roman" w:hAnsi="Times New Roman" w:cs="Times New Roman"/>
        </w:rPr>
        <w:t>fi</w:t>
      </w:r>
      <w:r w:rsidRPr="00D2584A">
        <w:rPr>
          <w:rFonts w:ascii="Times New Roman" w:hAnsi="Times New Roman" w:cs="Times New Roman"/>
        </w:rPr>
        <w:t>cation of such losses will apply.</w:t>
      </w:r>
      <w:r>
        <w:rPr>
          <w:rFonts w:ascii="Times New Roman" w:hAnsi="Times New Roman" w:cs="Times New Roman"/>
        </w:rPr>
        <w:t>”</w:t>
      </w:r>
    </w:p>
    <w:p w14:paraId="41B8A679" w14:textId="38A5C1E6" w:rsidR="0007138E" w:rsidRPr="003719FC" w:rsidRDefault="003719FC" w:rsidP="00AC2BC7">
      <w:pPr>
        <w:spacing w:before="120" w:after="360"/>
        <w:jc w:val="both"/>
        <w:rPr>
          <w:b/>
          <w:bCs/>
          <w:u w:val="single"/>
        </w:rPr>
      </w:pPr>
      <w:r>
        <w:rPr>
          <w:b/>
          <w:bCs/>
          <w:u w:val="single"/>
        </w:rPr>
        <w:t>5. Our construction of the legislation</w:t>
      </w:r>
    </w:p>
    <w:p w14:paraId="2AA74D3D" w14:textId="77777777"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For convenience, we reproduce section 47B(2). Referring to section </w:t>
      </w:r>
      <w:proofErr w:type="gramStart"/>
      <w:r>
        <w:rPr>
          <w:rFonts w:ascii="Times New Roman" w:hAnsi="Times New Roman" w:cs="Times New Roman"/>
        </w:rPr>
        <w:t>47B as a whole, it</w:t>
      </w:r>
      <w:proofErr w:type="gramEnd"/>
      <w:r>
        <w:rPr>
          <w:rFonts w:ascii="Times New Roman" w:hAnsi="Times New Roman" w:cs="Times New Roman"/>
        </w:rPr>
        <w:t xml:space="preserve"> provides that:</w:t>
      </w:r>
    </w:p>
    <w:p w14:paraId="6F4AD581" w14:textId="77777777" w:rsidR="0007138E" w:rsidRPr="00BF6A99" w:rsidRDefault="0007138E" w:rsidP="00AC2BC7">
      <w:pPr>
        <w:pStyle w:val="ListParagraph"/>
        <w:spacing w:before="120" w:after="360" w:line="240" w:lineRule="auto"/>
        <w:ind w:left="1134" w:right="1089"/>
        <w:contextualSpacing w:val="0"/>
        <w:jc w:val="both"/>
        <w:rPr>
          <w:rFonts w:ascii="Times New Roman" w:hAnsi="Times New Roman" w:cs="Times New Roman"/>
        </w:rPr>
      </w:pPr>
      <w:r>
        <w:rPr>
          <w:rFonts w:ascii="Times New Roman" w:hAnsi="Times New Roman" w:cs="Times New Roman"/>
        </w:rPr>
        <w:t>“</w:t>
      </w:r>
      <w:r w:rsidRPr="00BF6A99">
        <w:rPr>
          <w:rFonts w:ascii="Times New Roman" w:hAnsi="Times New Roman" w:cs="Times New Roman"/>
        </w:rPr>
        <w:t>(2) This section does not apply where—</w:t>
      </w:r>
    </w:p>
    <w:p w14:paraId="24EDA67C" w14:textId="77777777" w:rsidR="0007138E" w:rsidRPr="00BF6A99" w:rsidRDefault="0007138E" w:rsidP="00AC2BC7">
      <w:pPr>
        <w:pStyle w:val="ListParagraph"/>
        <w:spacing w:before="120" w:after="360" w:line="240" w:lineRule="auto"/>
        <w:ind w:left="1134" w:right="1089"/>
        <w:contextualSpacing w:val="0"/>
        <w:jc w:val="both"/>
        <w:rPr>
          <w:rFonts w:ascii="Times New Roman" w:hAnsi="Times New Roman" w:cs="Times New Roman"/>
        </w:rPr>
      </w:pPr>
      <w:r w:rsidRPr="00BF6A99">
        <w:rPr>
          <w:rFonts w:ascii="Times New Roman" w:hAnsi="Times New Roman" w:cs="Times New Roman"/>
        </w:rPr>
        <w:t>(a) the worker is an employee, and</w:t>
      </w:r>
    </w:p>
    <w:p w14:paraId="4C1896D2" w14:textId="77777777" w:rsidR="0007138E" w:rsidRDefault="0007138E" w:rsidP="00AC2BC7">
      <w:pPr>
        <w:pStyle w:val="ListParagraph"/>
        <w:spacing w:before="120" w:after="360" w:line="240" w:lineRule="auto"/>
        <w:ind w:left="1134" w:right="1089"/>
        <w:contextualSpacing w:val="0"/>
        <w:jc w:val="both"/>
        <w:rPr>
          <w:rFonts w:ascii="Times New Roman" w:hAnsi="Times New Roman" w:cs="Times New Roman"/>
        </w:rPr>
      </w:pPr>
      <w:r w:rsidRPr="00BF6A99">
        <w:rPr>
          <w:rFonts w:ascii="Times New Roman" w:hAnsi="Times New Roman" w:cs="Times New Roman"/>
        </w:rPr>
        <w:t>(b) the detriment in question amounts to dismissal (within the meaning of Part X).</w:t>
      </w:r>
      <w:r>
        <w:rPr>
          <w:rFonts w:ascii="Times New Roman" w:hAnsi="Times New Roman" w:cs="Times New Roman"/>
        </w:rPr>
        <w:t>”</w:t>
      </w:r>
    </w:p>
    <w:p w14:paraId="615751A5" w14:textId="2758F63E"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Section 47B(2) is part of a careful and detailed scheme which gives employees, and in some cases workers, rights not to be subjected to detriments on specified grounds. The scheme has many common features, such as the formula we describe </w:t>
      </w:r>
      <w:r w:rsidRPr="00B93523">
        <w:rPr>
          <w:rFonts w:ascii="Times New Roman" w:hAnsi="Times New Roman" w:cs="Times New Roman"/>
        </w:rPr>
        <w:t>in paragraph 33,</w:t>
      </w:r>
      <w:r>
        <w:rPr>
          <w:rFonts w:ascii="Times New Roman" w:hAnsi="Times New Roman" w:cs="Times New Roman"/>
        </w:rPr>
        <w:t xml:space="preserve"> above, </w:t>
      </w:r>
      <w:r w:rsidRPr="00746AED">
        <w:rPr>
          <w:rFonts w:ascii="Times New Roman" w:hAnsi="Times New Roman" w:cs="Times New Roman"/>
        </w:rPr>
        <w:t xml:space="preserve">which </w:t>
      </w:r>
      <w:r>
        <w:rPr>
          <w:rFonts w:ascii="Times New Roman" w:hAnsi="Times New Roman" w:cs="Times New Roman"/>
        </w:rPr>
        <w:t xml:space="preserve">concerns </w:t>
      </w:r>
      <w:r w:rsidRPr="00746AED">
        <w:rPr>
          <w:rFonts w:ascii="Times New Roman" w:hAnsi="Times New Roman" w:cs="Times New Roman"/>
        </w:rPr>
        <w:t>the relationship between the relevant substantive section</w:t>
      </w:r>
      <w:r>
        <w:rPr>
          <w:rFonts w:ascii="Times New Roman" w:hAnsi="Times New Roman" w:cs="Times New Roman"/>
        </w:rPr>
        <w:t>s</w:t>
      </w:r>
      <w:r w:rsidRPr="00746AED">
        <w:rPr>
          <w:rFonts w:ascii="Times New Roman" w:hAnsi="Times New Roman" w:cs="Times New Roman"/>
        </w:rPr>
        <w:t xml:space="preserve"> in Part V and Part X</w:t>
      </w:r>
      <w:r>
        <w:rPr>
          <w:rFonts w:ascii="Times New Roman" w:hAnsi="Times New Roman" w:cs="Times New Roman"/>
        </w:rPr>
        <w:t xml:space="preserve">. Those common features have been in Part V since its </w:t>
      </w:r>
      <w:proofErr w:type="gramStart"/>
      <w:r>
        <w:rPr>
          <w:rFonts w:ascii="Times New Roman" w:hAnsi="Times New Roman" w:cs="Times New Roman"/>
        </w:rPr>
        <w:t>enactment, and</w:t>
      </w:r>
      <w:proofErr w:type="gramEnd"/>
      <w:r>
        <w:rPr>
          <w:rFonts w:ascii="Times New Roman" w:hAnsi="Times New Roman" w:cs="Times New Roman"/>
        </w:rPr>
        <w:t xml:space="preserve"> have not changed; they have just been applied to an increasing number of proscribed grounds. </w:t>
      </w:r>
      <w:proofErr w:type="gramStart"/>
      <w:r>
        <w:rPr>
          <w:rFonts w:ascii="Times New Roman" w:hAnsi="Times New Roman" w:cs="Times New Roman"/>
        </w:rPr>
        <w:t>In particular, those</w:t>
      </w:r>
      <w:proofErr w:type="gramEnd"/>
      <w:r>
        <w:rPr>
          <w:rFonts w:ascii="Times New Roman" w:hAnsi="Times New Roman" w:cs="Times New Roman"/>
        </w:rPr>
        <w:t xml:space="preserve"> features were not changed by the amendments to Part V in 1998, or in 2013.</w:t>
      </w:r>
    </w:p>
    <w:p w14:paraId="6DE41D07" w14:textId="7C822697"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formula in each substantive provision is Parliament’s choice about the remedial scheme which is available to an employee who suffers a detriment on a relevant ground. Whether that scheme is rational, or could be better, is not a matter for the court. Parliament has decided that where the detriment in question “amounts to a dismissal (within the meaning of Part X)”, the employee cannot make a claim under Part V. That provision is not ambiguous. It does not use the phrase ‘unfair dismissal’, so its scope is not restricted to cases in which a claim of unfair dismissal is or might be available. ‘Dismissal’ is defined in </w:t>
      </w:r>
      <w:r w:rsidRPr="00493440">
        <w:rPr>
          <w:rFonts w:ascii="Times New Roman" w:hAnsi="Times New Roman" w:cs="Times New Roman"/>
        </w:rPr>
        <w:t>section 95 (see paragraph 29 above</w:t>
      </w:r>
      <w:r>
        <w:rPr>
          <w:rFonts w:ascii="Times New Roman" w:hAnsi="Times New Roman" w:cs="Times New Roman"/>
        </w:rPr>
        <w:t>). The scope of the exclusion is defined by the phrase “amounts to dismissal (within the meaning of Part X)”. The phrase ‘amounts to’ makes it clear that whether the exclusion applies in a particular case is a question of substance, not form. So, if an employee’s complaint about a detriment is, in substance, a complaint about his dismissal, he cannot bring a complaint about that detriment under Part V; he is necessarily limited to making a claim under Part X.</w:t>
      </w:r>
      <w:r w:rsidR="008F443B">
        <w:rPr>
          <w:rFonts w:ascii="Times New Roman" w:hAnsi="Times New Roman" w:cs="Times New Roman"/>
        </w:rPr>
        <w:t xml:space="preserve"> </w:t>
      </w:r>
      <w:r w:rsidR="00842C05">
        <w:rPr>
          <w:rFonts w:ascii="Times New Roman" w:hAnsi="Times New Roman" w:cs="Times New Roman"/>
        </w:rPr>
        <w:t xml:space="preserve">The </w:t>
      </w:r>
      <w:r w:rsidR="008F443B">
        <w:rPr>
          <w:rFonts w:ascii="Times New Roman" w:hAnsi="Times New Roman" w:cs="Times New Roman"/>
        </w:rPr>
        <w:t xml:space="preserve">regimes in </w:t>
      </w:r>
      <w:r w:rsidR="00842C05">
        <w:rPr>
          <w:rFonts w:ascii="Times New Roman" w:hAnsi="Times New Roman" w:cs="Times New Roman"/>
        </w:rPr>
        <w:t xml:space="preserve">the two </w:t>
      </w:r>
      <w:r w:rsidR="008F443B">
        <w:rPr>
          <w:rFonts w:ascii="Times New Roman" w:hAnsi="Times New Roman" w:cs="Times New Roman"/>
        </w:rPr>
        <w:t>Part</w:t>
      </w:r>
      <w:r w:rsidR="00842C05">
        <w:rPr>
          <w:rFonts w:ascii="Times New Roman" w:hAnsi="Times New Roman" w:cs="Times New Roman"/>
        </w:rPr>
        <w:t>s a</w:t>
      </w:r>
      <w:r w:rsidR="008F443B">
        <w:rPr>
          <w:rFonts w:ascii="Times New Roman" w:hAnsi="Times New Roman" w:cs="Times New Roman"/>
        </w:rPr>
        <w:t>re parallel and complementary. There is no warrant for the view that employees should, as well as being able to claim under Part X, be given the windfall of a claim under Part V also based on their dismissal, when Parliament has unambiguously decided that the extent of their protection from dismissal should be a claim under Part X.</w:t>
      </w:r>
    </w:p>
    <w:p w14:paraId="633A7992" w14:textId="74A8E75A"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inquiry whether the exclusion applies, that is, whether the detriment amounts, in substance, to a dismissal (‘within the meaning of Part </w:t>
      </w:r>
      <w:r w:rsidR="00F71042">
        <w:rPr>
          <w:rFonts w:ascii="Times New Roman" w:hAnsi="Times New Roman" w:cs="Times New Roman"/>
        </w:rPr>
        <w:t>X’</w:t>
      </w:r>
      <w:r>
        <w:rPr>
          <w:rFonts w:ascii="Times New Roman" w:hAnsi="Times New Roman" w:cs="Times New Roman"/>
        </w:rPr>
        <w:t xml:space="preserve">) has three main linked </w:t>
      </w:r>
      <w:r>
        <w:rPr>
          <w:rFonts w:ascii="Times New Roman" w:hAnsi="Times New Roman" w:cs="Times New Roman"/>
        </w:rPr>
        <w:lastRenderedPageBreak/>
        <w:t xml:space="preserve">elements. First, is the detriment which is the subject of the complaint in substance a dismissal?  Second, is the loss for which compensation is sought in substance a loss consequential on the dismissal, or compensation for a loss suffered before the dismissal? That is the approach of this court in </w:t>
      </w:r>
      <w:r>
        <w:rPr>
          <w:rFonts w:ascii="Times New Roman" w:hAnsi="Times New Roman" w:cs="Times New Roman"/>
          <w:i/>
          <w:iCs/>
        </w:rPr>
        <w:t xml:space="preserve">Melia – </w:t>
      </w:r>
      <w:r w:rsidRPr="00BE37DB">
        <w:rPr>
          <w:rFonts w:ascii="Times New Roman" w:hAnsi="Times New Roman" w:cs="Times New Roman"/>
        </w:rPr>
        <w:t>see paragraphs 40-44 above –</w:t>
      </w:r>
      <w:r>
        <w:rPr>
          <w:rFonts w:ascii="Times New Roman" w:hAnsi="Times New Roman" w:cs="Times New Roman"/>
        </w:rPr>
        <w:t xml:space="preserve"> and we agree with it. Third, did the employer dismiss the employee? This third element might be thought to be redundant, since it might be thought that only an employer can dismiss an employee, but it needs to be stated, because of the suggestion in some of the authorities that someone other than the employer can, in law, dismiss an employee. </w:t>
      </w:r>
    </w:p>
    <w:p w14:paraId="5556C2C2" w14:textId="7DC5C85C"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There is no exclusion provision in Part V which applies to workers who are not employees. The reason for that is</w:t>
      </w:r>
      <w:r w:rsidR="00FD404B">
        <w:rPr>
          <w:rFonts w:ascii="Times New Roman" w:hAnsi="Times New Roman" w:cs="Times New Roman"/>
        </w:rPr>
        <w:t>, on our analysis</w:t>
      </w:r>
      <w:r w:rsidR="007D6178">
        <w:rPr>
          <w:rFonts w:ascii="Times New Roman" w:hAnsi="Times New Roman" w:cs="Times New Roman"/>
        </w:rPr>
        <w:t>,</w:t>
      </w:r>
      <w:r>
        <w:rPr>
          <w:rFonts w:ascii="Times New Roman" w:hAnsi="Times New Roman" w:cs="Times New Roman"/>
        </w:rPr>
        <w:t xml:space="preserve"> obvious: a worker who is not an employee cannot claim that he has been unfairly dismissed. There is therefore no need for an exclusion in their case. Such a worker can therefore complain about any detriment to which he has been subjected on a proscribed ground. It does not matter whether it is in substance a dismissal by the employer, or not. </w:t>
      </w:r>
    </w:p>
    <w:p w14:paraId="7C7A7BD1" w14:textId="75076A68" w:rsidR="0007138E" w:rsidRPr="00190742"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190742">
        <w:rPr>
          <w:rFonts w:ascii="Times New Roman" w:hAnsi="Times New Roman" w:cs="Times New Roman"/>
        </w:rPr>
        <w:t>There are two further important indicators. The first is that the draftsman has, in some cases, created an exclusion by reference to the whole section, and in two cases, an exclusion which disapplies only some subsections of the relevant substantive section (</w:t>
      </w:r>
      <w:r w:rsidRPr="002103B0">
        <w:rPr>
          <w:rFonts w:ascii="Times New Roman" w:hAnsi="Times New Roman" w:cs="Times New Roman"/>
        </w:rPr>
        <w:t>see paragraph 38, above</w:t>
      </w:r>
      <w:r w:rsidRPr="00190742">
        <w:rPr>
          <w:rFonts w:ascii="Times New Roman" w:hAnsi="Times New Roman" w:cs="Times New Roman"/>
        </w:rPr>
        <w:t xml:space="preserve">). That technique was therefore available to, and has been used by, the draftsman. When section 47B was amended by the 2013 Act, the draftsman could, if that had been Parliament’s intention, have used that technique, and have amended section 47B(2) </w:t>
      </w:r>
      <w:proofErr w:type="gramStart"/>
      <w:r w:rsidRPr="00190742">
        <w:rPr>
          <w:rFonts w:ascii="Times New Roman" w:hAnsi="Times New Roman" w:cs="Times New Roman"/>
        </w:rPr>
        <w:t>so as to</w:t>
      </w:r>
      <w:proofErr w:type="gramEnd"/>
      <w:r w:rsidRPr="00190742">
        <w:rPr>
          <w:rFonts w:ascii="Times New Roman" w:hAnsi="Times New Roman" w:cs="Times New Roman"/>
        </w:rPr>
        <w:t xml:space="preserve"> disapply section 47B(2) to the new subsections (1A)-(1E). The draftsman did not do that. Section 47B(2) therefore unarguably applies to the whole of section 47B, as amended, and not just to section 47B(1). There are no textual grounds for supposing that this was a drafting oversight</w:t>
      </w:r>
      <w:r>
        <w:rPr>
          <w:rFonts w:ascii="Times New Roman" w:hAnsi="Times New Roman" w:cs="Times New Roman"/>
        </w:rPr>
        <w:t>,</w:t>
      </w:r>
      <w:r w:rsidRPr="00190742">
        <w:rPr>
          <w:rFonts w:ascii="Times New Roman" w:hAnsi="Times New Roman" w:cs="Times New Roman"/>
        </w:rPr>
        <w:t xml:space="preserve"> still less for concluding that it is an ‘obvious’ drafting error. The criteria which enable the court to intervene to correct even an obvious statutory drafting error are very strict: </w:t>
      </w:r>
      <w:r w:rsidRPr="00190742">
        <w:rPr>
          <w:rFonts w:ascii="Times New Roman" w:hAnsi="Times New Roman" w:cs="Times New Roman"/>
          <w:i/>
          <w:iCs/>
        </w:rPr>
        <w:t xml:space="preserve">Inco Europe Limited v First Choice Distribution </w:t>
      </w:r>
      <w:r w:rsidRPr="00190742">
        <w:rPr>
          <w:rFonts w:ascii="Times New Roman" w:hAnsi="Times New Roman" w:cs="Times New Roman"/>
        </w:rPr>
        <w:t>[2000] 1 WLR 586 (HL (E)</w:t>
      </w:r>
      <w:r w:rsidR="00122D95">
        <w:rPr>
          <w:rFonts w:ascii="Times New Roman" w:hAnsi="Times New Roman" w:cs="Times New Roman"/>
        </w:rPr>
        <w:t>)</w:t>
      </w:r>
      <w:r w:rsidRPr="00190742">
        <w:rPr>
          <w:rFonts w:ascii="Times New Roman" w:hAnsi="Times New Roman" w:cs="Times New Roman"/>
        </w:rPr>
        <w:t xml:space="preserve"> (‘</w:t>
      </w:r>
      <w:r w:rsidRPr="00190742">
        <w:rPr>
          <w:rFonts w:ascii="Times New Roman" w:hAnsi="Times New Roman" w:cs="Times New Roman"/>
          <w:i/>
          <w:iCs/>
        </w:rPr>
        <w:t>Inco’</w:t>
      </w:r>
      <w:r w:rsidRPr="00190742">
        <w:rPr>
          <w:rFonts w:ascii="Times New Roman" w:hAnsi="Times New Roman" w:cs="Times New Roman"/>
        </w:rPr>
        <w:t>). There has been no suggestion that they are met in this case.</w:t>
      </w:r>
    </w:p>
    <w:p w14:paraId="01ECFDFC" w14:textId="2D7E4530"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853232">
        <w:rPr>
          <w:rFonts w:ascii="Times New Roman" w:hAnsi="Times New Roman" w:cs="Times New Roman"/>
        </w:rPr>
        <w:t xml:space="preserve">The second </w:t>
      </w:r>
      <w:r>
        <w:rPr>
          <w:rFonts w:ascii="Times New Roman" w:hAnsi="Times New Roman" w:cs="Times New Roman"/>
        </w:rPr>
        <w:t xml:space="preserve">indicator </w:t>
      </w:r>
      <w:r w:rsidRPr="00853232">
        <w:rPr>
          <w:rFonts w:ascii="Times New Roman" w:hAnsi="Times New Roman" w:cs="Times New Roman"/>
        </w:rPr>
        <w:t xml:space="preserve">is that the relevant terms of the </w:t>
      </w:r>
      <w:r>
        <w:rPr>
          <w:rFonts w:ascii="Times New Roman" w:hAnsi="Times New Roman" w:cs="Times New Roman"/>
        </w:rPr>
        <w:t>exclusion</w:t>
      </w:r>
      <w:r w:rsidRPr="00853232">
        <w:rPr>
          <w:rFonts w:ascii="Times New Roman" w:hAnsi="Times New Roman" w:cs="Times New Roman"/>
        </w:rPr>
        <w:t xml:space="preserve"> are identical, or virtually identical, in many different provisions in Part V. Those provisions must all have the same meaning throughout Part </w:t>
      </w:r>
      <w:proofErr w:type="gramStart"/>
      <w:r w:rsidRPr="00853232">
        <w:rPr>
          <w:rFonts w:ascii="Times New Roman" w:hAnsi="Times New Roman" w:cs="Times New Roman"/>
        </w:rPr>
        <w:t>V</w:t>
      </w:r>
      <w:r>
        <w:rPr>
          <w:rFonts w:ascii="Times New Roman" w:hAnsi="Times New Roman" w:cs="Times New Roman"/>
        </w:rPr>
        <w:t>, and</w:t>
      </w:r>
      <w:proofErr w:type="gramEnd"/>
      <w:r>
        <w:rPr>
          <w:rFonts w:ascii="Times New Roman" w:hAnsi="Times New Roman" w:cs="Times New Roman"/>
        </w:rPr>
        <w:t xml:space="preserve"> must have had that meaning from the date of Royal Assent.</w:t>
      </w:r>
      <w:r w:rsidRPr="00853232">
        <w:rPr>
          <w:rFonts w:ascii="Times New Roman" w:hAnsi="Times New Roman" w:cs="Times New Roman"/>
        </w:rPr>
        <w:t xml:space="preserve"> We </w:t>
      </w:r>
      <w:r w:rsidR="005A7AF3">
        <w:rPr>
          <w:rFonts w:ascii="Times New Roman" w:hAnsi="Times New Roman" w:cs="Times New Roman"/>
        </w:rPr>
        <w:t>cannot accept</w:t>
      </w:r>
      <w:r w:rsidRPr="00853232">
        <w:rPr>
          <w:rFonts w:ascii="Times New Roman" w:hAnsi="Times New Roman" w:cs="Times New Roman"/>
        </w:rPr>
        <w:t xml:space="preserve"> Ms Jolly’s </w:t>
      </w:r>
      <w:r>
        <w:rPr>
          <w:rFonts w:ascii="Times New Roman" w:hAnsi="Times New Roman" w:cs="Times New Roman"/>
        </w:rPr>
        <w:t>submission</w:t>
      </w:r>
      <w:r w:rsidRPr="00853232">
        <w:rPr>
          <w:rFonts w:ascii="Times New Roman" w:hAnsi="Times New Roman" w:cs="Times New Roman"/>
        </w:rPr>
        <w:t xml:space="preserve"> that the same words </w:t>
      </w:r>
      <w:r>
        <w:rPr>
          <w:rFonts w:ascii="Times New Roman" w:hAnsi="Times New Roman" w:cs="Times New Roman"/>
        </w:rPr>
        <w:t xml:space="preserve">could </w:t>
      </w:r>
      <w:r w:rsidRPr="00853232">
        <w:rPr>
          <w:rFonts w:ascii="Times New Roman" w:hAnsi="Times New Roman" w:cs="Times New Roman"/>
        </w:rPr>
        <w:t xml:space="preserve">mean </w:t>
      </w:r>
      <w:r>
        <w:rPr>
          <w:rFonts w:ascii="Times New Roman" w:hAnsi="Times New Roman" w:cs="Times New Roman"/>
        </w:rPr>
        <w:t xml:space="preserve">one </w:t>
      </w:r>
      <w:r w:rsidRPr="00853232">
        <w:rPr>
          <w:rFonts w:ascii="Times New Roman" w:hAnsi="Times New Roman" w:cs="Times New Roman"/>
        </w:rPr>
        <w:t>thing in section 47B(2)</w:t>
      </w:r>
      <w:r>
        <w:rPr>
          <w:rFonts w:ascii="Times New Roman" w:hAnsi="Times New Roman" w:cs="Times New Roman"/>
        </w:rPr>
        <w:t xml:space="preserve"> and something else in other provisions</w:t>
      </w:r>
      <w:r w:rsidRPr="00853232">
        <w:rPr>
          <w:rFonts w:ascii="Times New Roman" w:hAnsi="Times New Roman" w:cs="Times New Roman"/>
        </w:rPr>
        <w:t>. Nor, given that the draftsman could, when section 47B was amended in 2013, have used the technique we have referred to in the previous paragraph</w:t>
      </w:r>
      <w:r>
        <w:rPr>
          <w:rFonts w:ascii="Times New Roman" w:hAnsi="Times New Roman" w:cs="Times New Roman"/>
        </w:rPr>
        <w:t xml:space="preserve">, yet chose not to, can section 47B(2) have had one meaning before the amendments in 2013, and then have acquired a different meaning after those amendments were made. It means the same now as it did when it was considered by this court in </w:t>
      </w:r>
      <w:r w:rsidRPr="00F700FC">
        <w:rPr>
          <w:rFonts w:ascii="Times New Roman" w:hAnsi="Times New Roman" w:cs="Times New Roman"/>
          <w:i/>
          <w:iCs/>
        </w:rPr>
        <w:t>Melia</w:t>
      </w:r>
      <w:r>
        <w:rPr>
          <w:rFonts w:ascii="Times New Roman" w:hAnsi="Times New Roman" w:cs="Times New Roman"/>
        </w:rPr>
        <w:t xml:space="preserve">. </w:t>
      </w:r>
    </w:p>
    <w:p w14:paraId="7BD8662A" w14:textId="77777777"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upshot is that, whether or not an employee relies on section 47B(1), or on section 47B(1A)-(1E), he cannot bring a detriment claim if, in substance, the detriment about which he wishes to complain ‘amounts to’ his dismissal by his employer, and he is claiming compensation for losses consequential on his dismissal. The words are clear. It is just not possible for such an employee to rely on section 47B(1A)-(1E), because, if his complaint is in substance about a detriment which amounts to his dismissal by his </w:t>
      </w:r>
      <w:r>
        <w:rPr>
          <w:rFonts w:ascii="Times New Roman" w:hAnsi="Times New Roman" w:cs="Times New Roman"/>
        </w:rPr>
        <w:lastRenderedPageBreak/>
        <w:t>employer, the whole of section 47B is deliberately disapplied, including section 47B(1A)-(1E).</w:t>
      </w:r>
    </w:p>
    <w:p w14:paraId="37D44D40" w14:textId="77777777"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We should nevertheless consider further one aspect of the analysis which was pressed on us by some of the parties. In summary, the point is that Part X is said only to apply to a dismissal by an ‘employer’. The new provisions are said to create the possibility of a dismissal by a co-worker, for which the employer would only be vicariously liable. That would mean that the detriment which is the subject of the complaint would not amount to a dismissal ‘(within Part X)’ because the claimant has not been dismissed by his employer, but by a co-worker. We cannot accept that analysis for three reasons.</w:t>
      </w:r>
    </w:p>
    <w:p w14:paraId="66A461B2" w14:textId="77777777"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First, </w:t>
      </w:r>
      <w:proofErr w:type="gramStart"/>
      <w:r>
        <w:rPr>
          <w:rFonts w:ascii="Times New Roman" w:hAnsi="Times New Roman" w:cs="Times New Roman"/>
        </w:rPr>
        <w:t>by definition a</w:t>
      </w:r>
      <w:proofErr w:type="gramEnd"/>
      <w:r>
        <w:rPr>
          <w:rFonts w:ascii="Times New Roman" w:hAnsi="Times New Roman" w:cs="Times New Roman"/>
        </w:rPr>
        <w:t xml:space="preserve"> dismissal is always an act of the employer. A dismissal ends the contract of employment between the employer and employee. It is also obvious that, in cases like these, in which the employer is not a sole trader, but a limited company, dismissal can only be </w:t>
      </w:r>
      <w:proofErr w:type="gramStart"/>
      <w:r>
        <w:rPr>
          <w:rFonts w:ascii="Times New Roman" w:hAnsi="Times New Roman" w:cs="Times New Roman"/>
        </w:rPr>
        <w:t>effected</w:t>
      </w:r>
      <w:proofErr w:type="gramEnd"/>
      <w:r>
        <w:rPr>
          <w:rFonts w:ascii="Times New Roman" w:hAnsi="Times New Roman" w:cs="Times New Roman"/>
        </w:rPr>
        <w:t xml:space="preserve"> by a person who is a co-worker of the claimant, as the company can only act through a human being. We cannot accept that there is a relevant legal distinction in these cases between a dismissal ‘by the employer’ and a dismissal ‘by a co-worker’. The effect of both, in substance (which is what section 47B(2) is aimed at), is that they amount ‘to a dismissal (within Part X)’. In other words, there is no such thing as a dismissal of an employee with sufficient length of service which does not fall within Part X.</w:t>
      </w:r>
    </w:p>
    <w:p w14:paraId="4B44D483" w14:textId="77777777"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Second, and in any event, this argument, is, on its own terms and in these cases, circular. Section 47B(1B) provides that anything done by a co-worker ‘is treated as also done by the employer’. If there were any doubt (and there is none) this means that the dismissal ‘by the co-worker’ is ‘treated as also done by the employer’. Its legal effect, therefore, is that the employee is dismissed by the employer, and that act ‘amounts to a dismissal (within the meaning of Part X)’. </w:t>
      </w:r>
    </w:p>
    <w:p w14:paraId="2A99802E" w14:textId="77777777" w:rsidR="0007138E" w:rsidRDefault="0007138E"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Third, the question (if, contrary to our clear view, it arises) is not whether the liability for an act is primary or vicarious or secondary, or any other type of liability. The question is what the employer or co-worker is said to be liable for. In the terms of section 47B(2), the question, therefore, is what the act ‘amounts to’. If it amounts to a dismissal (within the meaning of Part X), the employer is liable for it and the employee cannot therefore make a complaint under Part V.</w:t>
      </w:r>
    </w:p>
    <w:p w14:paraId="00F7D73A" w14:textId="5D7C9D0E" w:rsidR="005B355D" w:rsidRDefault="005B355D"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We next seek to explain why we respectfully differ from the analysis in </w:t>
      </w:r>
      <w:r>
        <w:rPr>
          <w:rFonts w:ascii="Times New Roman" w:hAnsi="Times New Roman" w:cs="Times New Roman"/>
          <w:i/>
          <w:iCs/>
        </w:rPr>
        <w:t>Osipov</w:t>
      </w:r>
      <w:r>
        <w:rPr>
          <w:rFonts w:ascii="Times New Roman" w:hAnsi="Times New Roman" w:cs="Times New Roman"/>
        </w:rPr>
        <w:t>.</w:t>
      </w:r>
    </w:p>
    <w:p w14:paraId="49808546" w14:textId="77777777" w:rsidR="00B21396" w:rsidRDefault="00B21396"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proofErr w:type="gramStart"/>
      <w:r>
        <w:rPr>
          <w:rFonts w:ascii="Times New Roman" w:hAnsi="Times New Roman" w:cs="Times New Roman"/>
        </w:rPr>
        <w:t>It can be seen that our</w:t>
      </w:r>
      <w:proofErr w:type="gramEnd"/>
      <w:r>
        <w:rPr>
          <w:rFonts w:ascii="Times New Roman" w:hAnsi="Times New Roman" w:cs="Times New Roman"/>
        </w:rPr>
        <w:t xml:space="preserve"> construction of section 47B(2) is based on a straightforward reading of the words of the sub-section, considered in the context of the statutory scheme. We do not consider the sub-section to be ambiguous or to require a remedial or purposive interpretation.</w:t>
      </w:r>
    </w:p>
    <w:p w14:paraId="6C1F232A" w14:textId="6564404F" w:rsidR="00F34F2D" w:rsidRDefault="00B21396"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In contrast, </w:t>
      </w:r>
      <w:r w:rsidR="005B355D">
        <w:rPr>
          <w:rFonts w:ascii="Times New Roman" w:hAnsi="Times New Roman" w:cs="Times New Roman"/>
        </w:rPr>
        <w:t xml:space="preserve">we </w:t>
      </w:r>
      <w:r w:rsidR="0021765D">
        <w:rPr>
          <w:rFonts w:ascii="Times New Roman" w:hAnsi="Times New Roman" w:cs="Times New Roman"/>
        </w:rPr>
        <w:t>understand t</w:t>
      </w:r>
      <w:r w:rsidR="00F34F2D">
        <w:rPr>
          <w:rFonts w:ascii="Times New Roman" w:hAnsi="Times New Roman" w:cs="Times New Roman"/>
        </w:rPr>
        <w:t xml:space="preserve">he approach to construction in </w:t>
      </w:r>
      <w:r w:rsidR="00F34F2D">
        <w:rPr>
          <w:rFonts w:ascii="Times New Roman" w:hAnsi="Times New Roman" w:cs="Times New Roman"/>
          <w:i/>
          <w:iCs/>
        </w:rPr>
        <w:t xml:space="preserve">Osipov </w:t>
      </w:r>
      <w:r w:rsidR="00FE4EFB">
        <w:rPr>
          <w:rFonts w:ascii="Times New Roman" w:hAnsi="Times New Roman" w:cs="Times New Roman"/>
        </w:rPr>
        <w:t xml:space="preserve">in this court and in the EAT </w:t>
      </w:r>
      <w:r w:rsidR="00161512">
        <w:rPr>
          <w:rFonts w:ascii="Times New Roman" w:hAnsi="Times New Roman" w:cs="Times New Roman"/>
        </w:rPr>
        <w:t>to be</w:t>
      </w:r>
      <w:r w:rsidR="00F34F2D">
        <w:rPr>
          <w:rFonts w:ascii="Times New Roman" w:hAnsi="Times New Roman" w:cs="Times New Roman"/>
        </w:rPr>
        <w:t xml:space="preserve"> based on three themes. The first two themes are linked: in various respects, Parliament and the draftsman have not thought things through, or have overlooked things; and that the relevant provisions have a purpose which, in several respects, is contradicted by </w:t>
      </w:r>
      <w:r w:rsidR="00161512">
        <w:rPr>
          <w:rFonts w:ascii="Times New Roman" w:hAnsi="Times New Roman" w:cs="Times New Roman"/>
        </w:rPr>
        <w:t xml:space="preserve">the </w:t>
      </w:r>
      <w:r w:rsidR="00F34F2D">
        <w:rPr>
          <w:rFonts w:ascii="Times New Roman" w:hAnsi="Times New Roman" w:cs="Times New Roman"/>
        </w:rPr>
        <w:t xml:space="preserve">statutory provisions. The third theme is that </w:t>
      </w:r>
      <w:r w:rsidR="00BC468F">
        <w:rPr>
          <w:rFonts w:ascii="Times New Roman" w:hAnsi="Times New Roman" w:cs="Times New Roman"/>
        </w:rPr>
        <w:t xml:space="preserve">in this </w:t>
      </w:r>
      <w:r w:rsidR="008E7203">
        <w:rPr>
          <w:rFonts w:ascii="Times New Roman" w:hAnsi="Times New Roman" w:cs="Times New Roman"/>
        </w:rPr>
        <w:lastRenderedPageBreak/>
        <w:t xml:space="preserve">legislation </w:t>
      </w:r>
      <w:r w:rsidR="00F34F2D">
        <w:rPr>
          <w:rFonts w:ascii="Times New Roman" w:hAnsi="Times New Roman" w:cs="Times New Roman"/>
        </w:rPr>
        <w:t xml:space="preserve">dismissal by a co-worker is a </w:t>
      </w:r>
      <w:r w:rsidR="008E7203">
        <w:rPr>
          <w:rFonts w:ascii="Times New Roman" w:hAnsi="Times New Roman" w:cs="Times New Roman"/>
        </w:rPr>
        <w:t xml:space="preserve">distinct </w:t>
      </w:r>
      <w:r w:rsidR="00F34F2D">
        <w:rPr>
          <w:rFonts w:ascii="Times New Roman" w:hAnsi="Times New Roman" w:cs="Times New Roman"/>
        </w:rPr>
        <w:t xml:space="preserve">cause of action </w:t>
      </w:r>
      <w:r w:rsidR="008E7203">
        <w:rPr>
          <w:rFonts w:ascii="Times New Roman" w:hAnsi="Times New Roman" w:cs="Times New Roman"/>
        </w:rPr>
        <w:t xml:space="preserve">to </w:t>
      </w:r>
      <w:r w:rsidR="00F34F2D">
        <w:rPr>
          <w:rFonts w:ascii="Times New Roman" w:hAnsi="Times New Roman" w:cs="Times New Roman"/>
        </w:rPr>
        <w:t xml:space="preserve">dismissal by an employer. </w:t>
      </w:r>
      <w:r w:rsidR="00BC468F">
        <w:rPr>
          <w:rFonts w:ascii="Times New Roman" w:hAnsi="Times New Roman" w:cs="Times New Roman"/>
        </w:rPr>
        <w:t xml:space="preserve">We have just explained at </w:t>
      </w:r>
      <w:r w:rsidR="00BC468F" w:rsidRPr="0058700B">
        <w:rPr>
          <w:rFonts w:ascii="Times New Roman" w:hAnsi="Times New Roman" w:cs="Times New Roman"/>
        </w:rPr>
        <w:t>paragraph</w:t>
      </w:r>
      <w:r w:rsidR="00D315FE" w:rsidRPr="0058700B">
        <w:rPr>
          <w:rFonts w:ascii="Times New Roman" w:hAnsi="Times New Roman" w:cs="Times New Roman"/>
        </w:rPr>
        <w:t>s</w:t>
      </w:r>
      <w:r w:rsidR="00BC468F" w:rsidRPr="0058700B">
        <w:rPr>
          <w:rFonts w:ascii="Times New Roman" w:hAnsi="Times New Roman" w:cs="Times New Roman"/>
        </w:rPr>
        <w:t xml:space="preserve"> 74-77</w:t>
      </w:r>
      <w:r w:rsidR="00BC468F">
        <w:rPr>
          <w:rFonts w:ascii="Times New Roman" w:hAnsi="Times New Roman" w:cs="Times New Roman"/>
        </w:rPr>
        <w:t xml:space="preserve"> why we do not accept that proposition.</w:t>
      </w:r>
    </w:p>
    <w:p w14:paraId="4C6D3DED" w14:textId="7AFAB022" w:rsidR="006E7B9B" w:rsidRDefault="00BF772D"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proofErr w:type="gramStart"/>
      <w:r>
        <w:rPr>
          <w:rFonts w:ascii="Times New Roman" w:hAnsi="Times New Roman" w:cs="Times New Roman"/>
        </w:rPr>
        <w:t>In regard to</w:t>
      </w:r>
      <w:proofErr w:type="gramEnd"/>
      <w:r>
        <w:rPr>
          <w:rFonts w:ascii="Times New Roman" w:hAnsi="Times New Roman" w:cs="Times New Roman"/>
        </w:rPr>
        <w:t xml:space="preserve"> the first two themes, w</w:t>
      </w:r>
      <w:r w:rsidR="00F34F2D">
        <w:rPr>
          <w:rFonts w:ascii="Times New Roman" w:hAnsi="Times New Roman" w:cs="Times New Roman"/>
        </w:rPr>
        <w:t xml:space="preserve">e </w:t>
      </w:r>
      <w:r w:rsidR="003F2581">
        <w:rPr>
          <w:rFonts w:ascii="Times New Roman" w:hAnsi="Times New Roman" w:cs="Times New Roman"/>
        </w:rPr>
        <w:t xml:space="preserve">have explained above </w:t>
      </w:r>
      <w:r w:rsidR="00EC6B40">
        <w:rPr>
          <w:rFonts w:ascii="Times New Roman" w:hAnsi="Times New Roman" w:cs="Times New Roman"/>
        </w:rPr>
        <w:t xml:space="preserve">why </w:t>
      </w:r>
      <w:r w:rsidR="003F2581">
        <w:rPr>
          <w:rFonts w:ascii="Times New Roman" w:hAnsi="Times New Roman" w:cs="Times New Roman"/>
        </w:rPr>
        <w:t>we consider that the statu</w:t>
      </w:r>
      <w:r w:rsidR="00EC6B40">
        <w:rPr>
          <w:rFonts w:ascii="Times New Roman" w:hAnsi="Times New Roman" w:cs="Times New Roman"/>
        </w:rPr>
        <w:t>tory language is clear and not in need of interpretation</w:t>
      </w:r>
      <w:r>
        <w:rPr>
          <w:rFonts w:ascii="Times New Roman" w:hAnsi="Times New Roman" w:cs="Times New Roman"/>
        </w:rPr>
        <w:t xml:space="preserve">, and we </w:t>
      </w:r>
      <w:r w:rsidR="002D1030">
        <w:rPr>
          <w:rFonts w:ascii="Times New Roman" w:hAnsi="Times New Roman" w:cs="Times New Roman"/>
        </w:rPr>
        <w:t xml:space="preserve">have referred to </w:t>
      </w:r>
      <w:r w:rsidR="002D1030">
        <w:rPr>
          <w:rFonts w:ascii="Times New Roman" w:hAnsi="Times New Roman" w:cs="Times New Roman"/>
          <w:i/>
          <w:iCs/>
        </w:rPr>
        <w:t>Inco</w:t>
      </w:r>
      <w:r w:rsidR="002D1030">
        <w:rPr>
          <w:rFonts w:ascii="Times New Roman" w:hAnsi="Times New Roman" w:cs="Times New Roman"/>
        </w:rPr>
        <w:t xml:space="preserve"> at </w:t>
      </w:r>
      <w:r w:rsidR="002D1030" w:rsidRPr="000C0C1A">
        <w:rPr>
          <w:rFonts w:ascii="Times New Roman" w:hAnsi="Times New Roman" w:cs="Times New Roman"/>
        </w:rPr>
        <w:t xml:space="preserve">paragraph </w:t>
      </w:r>
      <w:r w:rsidR="005B4A84" w:rsidRPr="000C0C1A">
        <w:rPr>
          <w:rFonts w:ascii="Times New Roman" w:hAnsi="Times New Roman" w:cs="Times New Roman"/>
        </w:rPr>
        <w:t>71</w:t>
      </w:r>
      <w:r w:rsidR="002D1030" w:rsidRPr="000C0C1A">
        <w:rPr>
          <w:rFonts w:ascii="Times New Roman" w:hAnsi="Times New Roman" w:cs="Times New Roman"/>
        </w:rPr>
        <w:t xml:space="preserve"> above.</w:t>
      </w:r>
      <w:r w:rsidR="002D1030">
        <w:rPr>
          <w:rFonts w:ascii="Times New Roman" w:hAnsi="Times New Roman" w:cs="Times New Roman"/>
        </w:rPr>
        <w:t xml:space="preserve"> Here, there are no circumstances which permit a court to ignore statutory language, or to downplay it, on the grounds that the draftsman might have overlooked something, or on the grounds that the words do not accord with a general purpose which is contradicted by those words or by their clear effect.</w:t>
      </w:r>
      <w:r w:rsidR="00523DBB">
        <w:rPr>
          <w:rFonts w:ascii="Times New Roman" w:hAnsi="Times New Roman" w:cs="Times New Roman"/>
        </w:rPr>
        <w:t xml:space="preserve"> In fact</w:t>
      </w:r>
      <w:r w:rsidR="00EC6B40">
        <w:rPr>
          <w:rFonts w:ascii="Times New Roman" w:hAnsi="Times New Roman" w:cs="Times New Roman"/>
        </w:rPr>
        <w:t xml:space="preserve">, we do not find </w:t>
      </w:r>
      <w:r w:rsidR="004D1F99">
        <w:rPr>
          <w:rFonts w:ascii="Times New Roman" w:hAnsi="Times New Roman" w:cs="Times New Roman"/>
        </w:rPr>
        <w:t xml:space="preserve">the provision </w:t>
      </w:r>
      <w:r w:rsidR="00EC6B40">
        <w:rPr>
          <w:rFonts w:ascii="Times New Roman" w:hAnsi="Times New Roman" w:cs="Times New Roman"/>
        </w:rPr>
        <w:t>to conflict with the statutory purpose</w:t>
      </w:r>
      <w:r w:rsidR="004D1F99">
        <w:rPr>
          <w:rFonts w:ascii="Times New Roman" w:hAnsi="Times New Roman" w:cs="Times New Roman"/>
        </w:rPr>
        <w:t xml:space="preserve"> or s</w:t>
      </w:r>
      <w:r w:rsidR="00EC6B40">
        <w:rPr>
          <w:rFonts w:ascii="Times New Roman" w:hAnsi="Times New Roman" w:cs="Times New Roman"/>
        </w:rPr>
        <w:t xml:space="preserve">hare the view that </w:t>
      </w:r>
      <w:r w:rsidR="004D1F99">
        <w:rPr>
          <w:rFonts w:ascii="Times New Roman" w:hAnsi="Times New Roman" w:cs="Times New Roman"/>
        </w:rPr>
        <w:t xml:space="preserve">applying it </w:t>
      </w:r>
      <w:r w:rsidR="00F90C75">
        <w:rPr>
          <w:rFonts w:ascii="Times New Roman" w:hAnsi="Times New Roman" w:cs="Times New Roman"/>
        </w:rPr>
        <w:t>directly would</w:t>
      </w:r>
      <w:r w:rsidR="00EC6B40">
        <w:rPr>
          <w:rFonts w:ascii="Times New Roman" w:hAnsi="Times New Roman" w:cs="Times New Roman"/>
        </w:rPr>
        <w:t xml:space="preserve"> produce </w:t>
      </w:r>
      <w:r w:rsidR="00F34F2D">
        <w:rPr>
          <w:rFonts w:ascii="Times New Roman" w:hAnsi="Times New Roman" w:cs="Times New Roman"/>
        </w:rPr>
        <w:t xml:space="preserve">“an incoherent and unsatisfactory result”. </w:t>
      </w:r>
      <w:r w:rsidR="0011383A">
        <w:rPr>
          <w:rFonts w:ascii="Times New Roman" w:hAnsi="Times New Roman" w:cs="Times New Roman"/>
        </w:rPr>
        <w:t>In our view, the different tests for causation between Part X (‘the reason or principal reason for the dismissal’) and in Part V (‘on the ground that’</w:t>
      </w:r>
      <w:r w:rsidR="0011383A" w:rsidRPr="00C339E6">
        <w:rPr>
          <w:rFonts w:ascii="Times New Roman" w:hAnsi="Times New Roman" w:cs="Times New Roman"/>
        </w:rPr>
        <w:t xml:space="preserve">) </w:t>
      </w:r>
      <w:r w:rsidR="008328E7" w:rsidRPr="00C339E6">
        <w:rPr>
          <w:rFonts w:ascii="Times New Roman" w:hAnsi="Times New Roman" w:cs="Times New Roman"/>
        </w:rPr>
        <w:t>are</w:t>
      </w:r>
      <w:r w:rsidR="0011383A" w:rsidRPr="00C339E6">
        <w:rPr>
          <w:rFonts w:ascii="Times New Roman" w:hAnsi="Times New Roman" w:cs="Times New Roman"/>
        </w:rPr>
        <w:t xml:space="preserve"> not</w:t>
      </w:r>
      <w:r w:rsidR="0011383A">
        <w:rPr>
          <w:rFonts w:ascii="Times New Roman" w:hAnsi="Times New Roman" w:cs="Times New Roman"/>
        </w:rPr>
        <w:t xml:space="preserve"> anomal</w:t>
      </w:r>
      <w:r w:rsidR="006F2AF6">
        <w:rPr>
          <w:rFonts w:ascii="Times New Roman" w:hAnsi="Times New Roman" w:cs="Times New Roman"/>
        </w:rPr>
        <w:t>ous</w:t>
      </w:r>
      <w:r w:rsidR="0011383A">
        <w:rPr>
          <w:rFonts w:ascii="Times New Roman" w:hAnsi="Times New Roman" w:cs="Times New Roman"/>
        </w:rPr>
        <w:t>. Nor is the fact that an employee cannot get compensation for injury to feelings under Part X, but can under Part V.</w:t>
      </w:r>
    </w:p>
    <w:p w14:paraId="0194EDC9" w14:textId="7A05E426" w:rsidR="00F34F2D" w:rsidRPr="00F460F2" w:rsidRDefault="0011383A"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F460F2">
        <w:rPr>
          <w:rFonts w:ascii="Times New Roman" w:hAnsi="Times New Roman" w:cs="Times New Roman"/>
        </w:rPr>
        <w:t xml:space="preserve">As to </w:t>
      </w:r>
      <w:r w:rsidR="00F460F2" w:rsidRPr="00F460F2">
        <w:rPr>
          <w:rFonts w:ascii="Times New Roman" w:hAnsi="Times New Roman" w:cs="Times New Roman"/>
        </w:rPr>
        <w:t xml:space="preserve">the ability to recover losses from co-workers in respect of dismissal, </w:t>
      </w:r>
      <w:r w:rsidR="00F90C75" w:rsidRPr="00F460F2">
        <w:rPr>
          <w:rFonts w:ascii="Times New Roman" w:hAnsi="Times New Roman" w:cs="Times New Roman"/>
          <w:i/>
          <w:iCs/>
        </w:rPr>
        <w:t xml:space="preserve">Osipov </w:t>
      </w:r>
      <w:r w:rsidR="00F90C75" w:rsidRPr="00F460F2">
        <w:rPr>
          <w:rFonts w:ascii="Times New Roman" w:hAnsi="Times New Roman" w:cs="Times New Roman"/>
        </w:rPr>
        <w:t>was</w:t>
      </w:r>
      <w:r w:rsidR="002505E5" w:rsidRPr="00F460F2">
        <w:rPr>
          <w:rFonts w:ascii="Times New Roman" w:hAnsi="Times New Roman" w:cs="Times New Roman"/>
        </w:rPr>
        <w:t>, perhaps unusual</w:t>
      </w:r>
      <w:r w:rsidR="00AD401E" w:rsidRPr="00F460F2">
        <w:rPr>
          <w:rFonts w:ascii="Times New Roman" w:hAnsi="Times New Roman" w:cs="Times New Roman"/>
        </w:rPr>
        <w:t>ly</w:t>
      </w:r>
      <w:r w:rsidR="002505E5" w:rsidRPr="00F460F2">
        <w:rPr>
          <w:rFonts w:ascii="Times New Roman" w:hAnsi="Times New Roman" w:cs="Times New Roman"/>
        </w:rPr>
        <w:t xml:space="preserve">, </w:t>
      </w:r>
      <w:r w:rsidR="00AD401E" w:rsidRPr="00F460F2">
        <w:rPr>
          <w:rFonts w:ascii="Times New Roman" w:hAnsi="Times New Roman" w:cs="Times New Roman"/>
        </w:rPr>
        <w:t xml:space="preserve">a </w:t>
      </w:r>
      <w:r w:rsidR="00F90C75" w:rsidRPr="00F460F2">
        <w:rPr>
          <w:rFonts w:ascii="Times New Roman" w:hAnsi="Times New Roman" w:cs="Times New Roman"/>
        </w:rPr>
        <w:t xml:space="preserve">case where </w:t>
      </w:r>
      <w:r w:rsidR="002505E5" w:rsidRPr="00F460F2">
        <w:rPr>
          <w:rFonts w:ascii="Times New Roman" w:hAnsi="Times New Roman" w:cs="Times New Roman"/>
        </w:rPr>
        <w:t xml:space="preserve">recovery was only likely to be possible against </w:t>
      </w:r>
      <w:r w:rsidR="00AD401E" w:rsidRPr="00F460F2">
        <w:rPr>
          <w:rFonts w:ascii="Times New Roman" w:hAnsi="Times New Roman" w:cs="Times New Roman"/>
        </w:rPr>
        <w:t>co-worker</w:t>
      </w:r>
      <w:r w:rsidR="002F294A" w:rsidRPr="00F460F2">
        <w:rPr>
          <w:rFonts w:ascii="Times New Roman" w:hAnsi="Times New Roman" w:cs="Times New Roman"/>
        </w:rPr>
        <w:t>s</w:t>
      </w:r>
      <w:r w:rsidR="00AD401E" w:rsidRPr="00F460F2">
        <w:rPr>
          <w:rFonts w:ascii="Times New Roman" w:hAnsi="Times New Roman" w:cs="Times New Roman"/>
        </w:rPr>
        <w:t>, and not against the employer.</w:t>
      </w:r>
      <w:r w:rsidR="002505E5" w:rsidRPr="00F460F2">
        <w:rPr>
          <w:rFonts w:ascii="Times New Roman" w:hAnsi="Times New Roman" w:cs="Times New Roman"/>
        </w:rPr>
        <w:t xml:space="preserve"> </w:t>
      </w:r>
      <w:r w:rsidR="002F294A" w:rsidRPr="00F460F2">
        <w:rPr>
          <w:rFonts w:ascii="Times New Roman" w:hAnsi="Times New Roman" w:cs="Times New Roman"/>
        </w:rPr>
        <w:t>However,</w:t>
      </w:r>
      <w:r w:rsidR="00F34F2D" w:rsidRPr="00F460F2">
        <w:rPr>
          <w:rFonts w:ascii="Times New Roman" w:hAnsi="Times New Roman" w:cs="Times New Roman"/>
        </w:rPr>
        <w:t xml:space="preserve"> Parliament has considered, and provided </w:t>
      </w:r>
      <w:r w:rsidR="00F34F2D" w:rsidRPr="00183982">
        <w:rPr>
          <w:rFonts w:ascii="Times New Roman" w:hAnsi="Times New Roman" w:cs="Times New Roman"/>
        </w:rPr>
        <w:t xml:space="preserve">protection </w:t>
      </w:r>
      <w:r w:rsidR="00BF6832" w:rsidRPr="00183982">
        <w:rPr>
          <w:rFonts w:ascii="Times New Roman" w:hAnsi="Times New Roman" w:cs="Times New Roman"/>
        </w:rPr>
        <w:t xml:space="preserve">for, </w:t>
      </w:r>
      <w:r w:rsidR="00F34F2D" w:rsidRPr="00183982">
        <w:rPr>
          <w:rFonts w:ascii="Times New Roman" w:hAnsi="Times New Roman" w:cs="Times New Roman"/>
        </w:rPr>
        <w:t xml:space="preserve">the </w:t>
      </w:r>
      <w:r w:rsidR="00F34F2D" w:rsidRPr="00F460F2">
        <w:rPr>
          <w:rFonts w:ascii="Times New Roman" w:hAnsi="Times New Roman" w:cs="Times New Roman"/>
        </w:rPr>
        <w:t>rights of employees in an insolvency to the extent that it has in Part XII, and no further.</w:t>
      </w:r>
    </w:p>
    <w:p w14:paraId="350AD951" w14:textId="366B371E" w:rsidR="00F71324" w:rsidRDefault="00F34F2D"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These matters are the consequences of a deliberate choice by Parliament to give a remedy under Part X which differs in those respects from the remedy it has provided under Part V. Rather than being anomalous, they show that Parliament has created two distinct remedial regimes. </w:t>
      </w:r>
    </w:p>
    <w:p w14:paraId="4972DE4F" w14:textId="7443FD6C" w:rsidR="00F34F2D" w:rsidRDefault="00F34F2D"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In three places</w:t>
      </w:r>
      <w:r w:rsidR="002D1030">
        <w:rPr>
          <w:rFonts w:ascii="Times New Roman" w:hAnsi="Times New Roman" w:cs="Times New Roman"/>
        </w:rPr>
        <w:t>,</w:t>
      </w:r>
      <w:r>
        <w:rPr>
          <w:rFonts w:ascii="Times New Roman" w:hAnsi="Times New Roman" w:cs="Times New Roman"/>
        </w:rPr>
        <w:t xml:space="preserve"> Underhill LJ describes his expectation that section 47B(2) could only exclude liability where “an identical remedy” was available under Part X. However, the statutory scheme </w:t>
      </w:r>
      <w:r w:rsidR="00A53521">
        <w:rPr>
          <w:rFonts w:ascii="Times New Roman" w:hAnsi="Times New Roman" w:cs="Times New Roman"/>
        </w:rPr>
        <w:t xml:space="preserve">unmistakeably </w:t>
      </w:r>
      <w:r>
        <w:rPr>
          <w:rFonts w:ascii="Times New Roman" w:hAnsi="Times New Roman" w:cs="Times New Roman"/>
        </w:rPr>
        <w:t xml:space="preserve">does not provide for identical remedies as between Part X and Part V, and it is therefore difficult to see how this expectation could ever be met. </w:t>
      </w:r>
    </w:p>
    <w:p w14:paraId="56C74F92" w14:textId="36CAF980" w:rsidR="00F34F2D" w:rsidRDefault="00F34F2D"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A further problem with the analysis in </w:t>
      </w:r>
      <w:r w:rsidRPr="00D32C65">
        <w:rPr>
          <w:rFonts w:ascii="Times New Roman" w:hAnsi="Times New Roman" w:cs="Times New Roman"/>
          <w:i/>
          <w:iCs/>
        </w:rPr>
        <w:t>Osipov</w:t>
      </w:r>
      <w:r>
        <w:rPr>
          <w:rFonts w:ascii="Times New Roman" w:hAnsi="Times New Roman" w:cs="Times New Roman"/>
        </w:rPr>
        <w:t xml:space="preserve"> is that it gives no weight to the fact that provisions like section 47B(2) have been in the statutory scheme since enactment. The relationship between the two Parts of the 1996 Act has remained the same throughout. Its meaning and purpose were clearly explained in </w:t>
      </w:r>
      <w:r>
        <w:rPr>
          <w:rFonts w:ascii="Times New Roman" w:hAnsi="Times New Roman" w:cs="Times New Roman"/>
          <w:i/>
          <w:iCs/>
        </w:rPr>
        <w:t>Melia</w:t>
      </w:r>
      <w:r>
        <w:rPr>
          <w:rFonts w:ascii="Times New Roman" w:hAnsi="Times New Roman" w:cs="Times New Roman"/>
        </w:rPr>
        <w:t xml:space="preserve">, before the 2013 amendments. There is nothing to support the view that its meaning changed in 2013. </w:t>
      </w:r>
      <w:r w:rsidR="00DE558B">
        <w:rPr>
          <w:rFonts w:ascii="Times New Roman" w:hAnsi="Times New Roman" w:cs="Times New Roman"/>
        </w:rPr>
        <w:t>To</w:t>
      </w:r>
      <w:r>
        <w:rPr>
          <w:rFonts w:ascii="Times New Roman" w:hAnsi="Times New Roman" w:cs="Times New Roman"/>
        </w:rPr>
        <w:t xml:space="preserve"> </w:t>
      </w:r>
      <w:r w:rsidR="00F43C30">
        <w:rPr>
          <w:rFonts w:ascii="Times New Roman" w:hAnsi="Times New Roman" w:cs="Times New Roman"/>
        </w:rPr>
        <w:t>distinguish</w:t>
      </w:r>
      <w:r w:rsidR="00DE558B">
        <w:rPr>
          <w:rFonts w:ascii="Times New Roman" w:hAnsi="Times New Roman" w:cs="Times New Roman"/>
        </w:rPr>
        <w:t xml:space="preserve"> </w:t>
      </w:r>
      <w:r>
        <w:rPr>
          <w:rFonts w:ascii="Times New Roman" w:hAnsi="Times New Roman" w:cs="Times New Roman"/>
          <w:i/>
          <w:iCs/>
        </w:rPr>
        <w:t xml:space="preserve">Melia </w:t>
      </w:r>
      <w:r w:rsidR="00F43C30">
        <w:rPr>
          <w:rFonts w:ascii="Times New Roman" w:hAnsi="Times New Roman" w:cs="Times New Roman"/>
        </w:rPr>
        <w:t xml:space="preserve">on the basis that the issue </w:t>
      </w:r>
      <w:r>
        <w:rPr>
          <w:rFonts w:ascii="Times New Roman" w:hAnsi="Times New Roman" w:cs="Times New Roman"/>
        </w:rPr>
        <w:t xml:space="preserve">was “wholly different” from the issue in </w:t>
      </w:r>
      <w:r>
        <w:rPr>
          <w:rFonts w:ascii="Times New Roman" w:hAnsi="Times New Roman" w:cs="Times New Roman"/>
          <w:i/>
          <w:iCs/>
        </w:rPr>
        <w:t>Osipov</w:t>
      </w:r>
      <w:r w:rsidR="005B1A78">
        <w:rPr>
          <w:rFonts w:ascii="Times New Roman" w:hAnsi="Times New Roman" w:cs="Times New Roman"/>
          <w:i/>
          <w:iCs/>
        </w:rPr>
        <w:t xml:space="preserve"> </w:t>
      </w:r>
      <w:r w:rsidR="005B1A78">
        <w:rPr>
          <w:rFonts w:ascii="Times New Roman" w:hAnsi="Times New Roman" w:cs="Times New Roman"/>
        </w:rPr>
        <w:t>is</w:t>
      </w:r>
      <w:r>
        <w:rPr>
          <w:rFonts w:ascii="Times New Roman" w:hAnsi="Times New Roman" w:cs="Times New Roman"/>
        </w:rPr>
        <w:t xml:space="preserve"> in our view problematic: Chadwick LJ was undertaking a </w:t>
      </w:r>
      <w:proofErr w:type="gramStart"/>
      <w:r>
        <w:rPr>
          <w:rFonts w:ascii="Times New Roman" w:hAnsi="Times New Roman" w:cs="Times New Roman"/>
        </w:rPr>
        <w:t>high level</w:t>
      </w:r>
      <w:proofErr w:type="gramEnd"/>
      <w:r>
        <w:rPr>
          <w:rFonts w:ascii="Times New Roman" w:hAnsi="Times New Roman" w:cs="Times New Roman"/>
        </w:rPr>
        <w:t xml:space="preserve"> review of the Parts V and X that remains convincing. Further, when section 47</w:t>
      </w:r>
      <w:r w:rsidR="00CD79BE">
        <w:rPr>
          <w:rFonts w:ascii="Times New Roman" w:hAnsi="Times New Roman" w:cs="Times New Roman"/>
        </w:rPr>
        <w:t>B</w:t>
      </w:r>
      <w:r>
        <w:rPr>
          <w:rFonts w:ascii="Times New Roman" w:hAnsi="Times New Roman" w:cs="Times New Roman"/>
        </w:rPr>
        <w:t xml:space="preserve"> was amended in 2013, the draftsman could also have amended section 47B(2</w:t>
      </w:r>
      <w:proofErr w:type="gramStart"/>
      <w:r>
        <w:rPr>
          <w:rFonts w:ascii="Times New Roman" w:hAnsi="Times New Roman" w:cs="Times New Roman"/>
        </w:rPr>
        <w:t>), but</w:t>
      </w:r>
      <w:proofErr w:type="gramEnd"/>
      <w:r>
        <w:rPr>
          <w:rFonts w:ascii="Times New Roman" w:hAnsi="Times New Roman" w:cs="Times New Roman"/>
        </w:rPr>
        <w:t xml:space="preserve"> chose not to. That is a clear indication that no part of section 47B applies where the worker is an employee and can make a claim under Part X.</w:t>
      </w:r>
    </w:p>
    <w:p w14:paraId="3744754C" w14:textId="6196D685" w:rsidR="00F34F2D" w:rsidRDefault="00F34F2D"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For these reasons, our analysis of section 47B respectfully differs from the analysis </w:t>
      </w:r>
      <w:r w:rsidR="001A5999">
        <w:rPr>
          <w:rFonts w:ascii="Times New Roman" w:hAnsi="Times New Roman" w:cs="Times New Roman"/>
        </w:rPr>
        <w:t xml:space="preserve">found </w:t>
      </w:r>
      <w:r>
        <w:rPr>
          <w:rFonts w:ascii="Times New Roman" w:hAnsi="Times New Roman" w:cs="Times New Roman"/>
        </w:rPr>
        <w:t xml:space="preserve">in </w:t>
      </w:r>
      <w:r>
        <w:rPr>
          <w:rFonts w:ascii="Times New Roman" w:hAnsi="Times New Roman" w:cs="Times New Roman"/>
          <w:i/>
          <w:iCs/>
        </w:rPr>
        <w:t>Osipov</w:t>
      </w:r>
      <w:r>
        <w:rPr>
          <w:rFonts w:ascii="Times New Roman" w:hAnsi="Times New Roman" w:cs="Times New Roman"/>
        </w:rPr>
        <w:t>.</w:t>
      </w:r>
    </w:p>
    <w:p w14:paraId="62831575" w14:textId="055FA907" w:rsidR="00876D67" w:rsidRPr="002249C5" w:rsidRDefault="003719FC" w:rsidP="00AC2BC7">
      <w:pPr>
        <w:spacing w:before="120" w:after="360"/>
        <w:jc w:val="both"/>
        <w:rPr>
          <w:b/>
          <w:bCs/>
          <w:u w:val="single"/>
        </w:rPr>
      </w:pPr>
      <w:r>
        <w:rPr>
          <w:b/>
          <w:bCs/>
          <w:u w:val="single"/>
        </w:rPr>
        <w:lastRenderedPageBreak/>
        <w:t>6.</w:t>
      </w:r>
      <w:r w:rsidR="001B77BF" w:rsidRPr="002249C5">
        <w:rPr>
          <w:b/>
          <w:bCs/>
          <w:u w:val="single"/>
        </w:rPr>
        <w:t xml:space="preserve"> </w:t>
      </w:r>
      <w:r w:rsidR="00CB2188">
        <w:rPr>
          <w:b/>
          <w:bCs/>
          <w:u w:val="single"/>
        </w:rPr>
        <w:t xml:space="preserve">Is </w:t>
      </w:r>
      <w:r w:rsidR="00876D67" w:rsidRPr="002249C5">
        <w:rPr>
          <w:b/>
          <w:bCs/>
          <w:i/>
          <w:iCs/>
          <w:u w:val="single"/>
        </w:rPr>
        <w:t>Osipov</w:t>
      </w:r>
      <w:r w:rsidR="00876D67" w:rsidRPr="002249C5">
        <w:rPr>
          <w:b/>
          <w:bCs/>
          <w:u w:val="single"/>
        </w:rPr>
        <w:t xml:space="preserve"> </w:t>
      </w:r>
      <w:r w:rsidR="001B77BF">
        <w:rPr>
          <w:b/>
          <w:bCs/>
          <w:u w:val="single"/>
        </w:rPr>
        <w:t>binding on us</w:t>
      </w:r>
      <w:r w:rsidR="00CB2188">
        <w:rPr>
          <w:b/>
          <w:bCs/>
          <w:u w:val="single"/>
        </w:rPr>
        <w:t>,</w:t>
      </w:r>
      <w:r w:rsidR="001B77BF">
        <w:rPr>
          <w:b/>
          <w:bCs/>
          <w:u w:val="single"/>
        </w:rPr>
        <w:t xml:space="preserve"> and</w:t>
      </w:r>
      <w:r w:rsidR="00CB2188">
        <w:rPr>
          <w:b/>
          <w:bCs/>
          <w:u w:val="single"/>
        </w:rPr>
        <w:t xml:space="preserve"> </w:t>
      </w:r>
      <w:r w:rsidR="001B77BF">
        <w:rPr>
          <w:b/>
          <w:bCs/>
          <w:u w:val="single"/>
        </w:rPr>
        <w:t>what are the consequences</w:t>
      </w:r>
      <w:r w:rsidR="00CB2188">
        <w:rPr>
          <w:b/>
          <w:bCs/>
          <w:u w:val="single"/>
        </w:rPr>
        <w:t xml:space="preserve"> for the appeals</w:t>
      </w:r>
      <w:r w:rsidR="00876D67" w:rsidRPr="002249C5">
        <w:rPr>
          <w:b/>
          <w:bCs/>
          <w:u w:val="single"/>
        </w:rPr>
        <w:t>?</w:t>
      </w:r>
    </w:p>
    <w:p w14:paraId="23C0AF80" w14:textId="38FFB99B" w:rsidR="00376894" w:rsidRDefault="0037689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issue in these two appeals is whether a claimant who has made a whistleblowing claim against his employer under section 103A can later amend his claim </w:t>
      </w:r>
      <w:proofErr w:type="gramStart"/>
      <w:r>
        <w:rPr>
          <w:rFonts w:ascii="Times New Roman" w:hAnsi="Times New Roman" w:cs="Times New Roman"/>
        </w:rPr>
        <w:t>so as to</w:t>
      </w:r>
      <w:proofErr w:type="gramEnd"/>
      <w:r>
        <w:rPr>
          <w:rFonts w:ascii="Times New Roman" w:hAnsi="Times New Roman" w:cs="Times New Roman"/>
        </w:rPr>
        <w:t xml:space="preserve"> add a claim against his employer</w:t>
      </w:r>
      <w:r w:rsidR="00FB1889">
        <w:rPr>
          <w:rFonts w:ascii="Times New Roman" w:hAnsi="Times New Roman" w:cs="Times New Roman"/>
        </w:rPr>
        <w:t>,</w:t>
      </w:r>
      <w:r>
        <w:rPr>
          <w:rFonts w:ascii="Times New Roman" w:hAnsi="Times New Roman" w:cs="Times New Roman"/>
        </w:rPr>
        <w:t xml:space="preserve"> complaining of whistleblowing detriment by </w:t>
      </w:r>
      <w:r w:rsidR="00FB1889">
        <w:rPr>
          <w:rFonts w:ascii="Times New Roman" w:hAnsi="Times New Roman" w:cs="Times New Roman"/>
        </w:rPr>
        <w:t xml:space="preserve">a </w:t>
      </w:r>
      <w:r>
        <w:rPr>
          <w:rFonts w:ascii="Times New Roman" w:hAnsi="Times New Roman" w:cs="Times New Roman"/>
        </w:rPr>
        <w:t>co-worker who, he alleges, was responsible for his dismissal, without joining the co-worker to the claim.  Such a claim is expressly based on part of the 2013 amendments to section 47B, that is, section 47B(1A).</w:t>
      </w:r>
    </w:p>
    <w:p w14:paraId="32197E7E" w14:textId="1EC521D7" w:rsidR="00376894" w:rsidRPr="004352D8" w:rsidRDefault="0037689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4352D8">
        <w:rPr>
          <w:rFonts w:ascii="Times New Roman" w:hAnsi="Times New Roman" w:cs="Times New Roman"/>
        </w:rPr>
        <w:t xml:space="preserve">The core of the reasoning in </w:t>
      </w:r>
      <w:r w:rsidRPr="004352D8">
        <w:rPr>
          <w:rFonts w:ascii="Times New Roman" w:hAnsi="Times New Roman" w:cs="Times New Roman"/>
          <w:i/>
          <w:iCs/>
        </w:rPr>
        <w:t>Osipov</w:t>
      </w:r>
      <w:r w:rsidRPr="004352D8">
        <w:rPr>
          <w:rFonts w:ascii="Times New Roman" w:hAnsi="Times New Roman" w:cs="Times New Roman"/>
        </w:rPr>
        <w:t xml:space="preserve"> is that section 47B(2) does not mean what it says.</w:t>
      </w:r>
      <w:r w:rsidR="006C2849">
        <w:rPr>
          <w:rFonts w:ascii="Times New Roman" w:hAnsi="Times New Roman" w:cs="Times New Roman"/>
        </w:rPr>
        <w:t xml:space="preserve"> </w:t>
      </w:r>
      <w:r w:rsidR="00185C98">
        <w:rPr>
          <w:rFonts w:ascii="Times New Roman" w:hAnsi="Times New Roman" w:cs="Times New Roman"/>
        </w:rPr>
        <w:t xml:space="preserve"> </w:t>
      </w:r>
      <w:r w:rsidRPr="004352D8">
        <w:rPr>
          <w:rFonts w:ascii="Times New Roman" w:hAnsi="Times New Roman" w:cs="Times New Roman"/>
        </w:rPr>
        <w:t xml:space="preserve">The consequence </w:t>
      </w:r>
      <w:r w:rsidR="006C2849">
        <w:rPr>
          <w:rFonts w:ascii="Times New Roman" w:hAnsi="Times New Roman" w:cs="Times New Roman"/>
        </w:rPr>
        <w:t xml:space="preserve">for Mr Osipov was that </w:t>
      </w:r>
      <w:r w:rsidRPr="004352D8">
        <w:rPr>
          <w:rFonts w:ascii="Times New Roman" w:hAnsi="Times New Roman" w:cs="Times New Roman"/>
        </w:rPr>
        <w:t xml:space="preserve">section 47B(2) </w:t>
      </w:r>
      <w:r>
        <w:rPr>
          <w:rFonts w:ascii="Times New Roman" w:hAnsi="Times New Roman" w:cs="Times New Roman"/>
        </w:rPr>
        <w:t>d</w:t>
      </w:r>
      <w:r w:rsidR="006C2849">
        <w:rPr>
          <w:rFonts w:ascii="Times New Roman" w:hAnsi="Times New Roman" w:cs="Times New Roman"/>
        </w:rPr>
        <w:t xml:space="preserve">id </w:t>
      </w:r>
      <w:r>
        <w:rPr>
          <w:rFonts w:ascii="Times New Roman" w:hAnsi="Times New Roman" w:cs="Times New Roman"/>
        </w:rPr>
        <w:t xml:space="preserve">not prevent </w:t>
      </w:r>
      <w:r w:rsidR="006C2849">
        <w:rPr>
          <w:rFonts w:ascii="Times New Roman" w:hAnsi="Times New Roman" w:cs="Times New Roman"/>
        </w:rPr>
        <w:t xml:space="preserve">him, </w:t>
      </w:r>
      <w:r>
        <w:rPr>
          <w:rFonts w:ascii="Times New Roman" w:hAnsi="Times New Roman" w:cs="Times New Roman"/>
        </w:rPr>
        <w:t>an employee who complain</w:t>
      </w:r>
      <w:r w:rsidR="00FB196C">
        <w:rPr>
          <w:rFonts w:ascii="Times New Roman" w:hAnsi="Times New Roman" w:cs="Times New Roman"/>
        </w:rPr>
        <w:t>ed</w:t>
      </w:r>
      <w:r>
        <w:rPr>
          <w:rFonts w:ascii="Times New Roman" w:hAnsi="Times New Roman" w:cs="Times New Roman"/>
        </w:rPr>
        <w:t xml:space="preserve"> about his dismissal</w:t>
      </w:r>
      <w:r w:rsidR="00FB196C">
        <w:rPr>
          <w:rFonts w:ascii="Times New Roman" w:hAnsi="Times New Roman" w:cs="Times New Roman"/>
        </w:rPr>
        <w:t xml:space="preserve"> under Part X,</w:t>
      </w:r>
      <w:r>
        <w:rPr>
          <w:rFonts w:ascii="Times New Roman" w:hAnsi="Times New Roman" w:cs="Times New Roman"/>
        </w:rPr>
        <w:t xml:space="preserve"> from </w:t>
      </w:r>
      <w:r w:rsidR="00FB196C">
        <w:rPr>
          <w:rFonts w:ascii="Times New Roman" w:hAnsi="Times New Roman" w:cs="Times New Roman"/>
        </w:rPr>
        <w:t xml:space="preserve">also </w:t>
      </w:r>
      <w:r>
        <w:rPr>
          <w:rFonts w:ascii="Times New Roman" w:hAnsi="Times New Roman" w:cs="Times New Roman"/>
        </w:rPr>
        <w:t>relying on section 47</w:t>
      </w:r>
      <w:r w:rsidR="00B12FA2">
        <w:rPr>
          <w:rFonts w:ascii="Times New Roman" w:hAnsi="Times New Roman" w:cs="Times New Roman"/>
        </w:rPr>
        <w:t>B</w:t>
      </w:r>
      <w:r>
        <w:rPr>
          <w:rFonts w:ascii="Times New Roman" w:hAnsi="Times New Roman" w:cs="Times New Roman"/>
        </w:rPr>
        <w:t xml:space="preserve">(1A), one of the provisions introduced by the 2013 Act. Section 47B(2) is, therefore, </w:t>
      </w:r>
      <w:r w:rsidRPr="004352D8">
        <w:rPr>
          <w:rFonts w:ascii="Times New Roman" w:hAnsi="Times New Roman" w:cs="Times New Roman"/>
        </w:rPr>
        <w:t xml:space="preserve">no bar to </w:t>
      </w:r>
      <w:r>
        <w:rPr>
          <w:rFonts w:ascii="Times New Roman" w:hAnsi="Times New Roman" w:cs="Times New Roman"/>
        </w:rPr>
        <w:t xml:space="preserve">a claim </w:t>
      </w:r>
      <w:r w:rsidRPr="004352D8">
        <w:rPr>
          <w:rFonts w:ascii="Times New Roman" w:hAnsi="Times New Roman" w:cs="Times New Roman"/>
        </w:rPr>
        <w:t xml:space="preserve">by an employee for unfair dismissal against his employer, and a simultaneous </w:t>
      </w:r>
      <w:r>
        <w:rPr>
          <w:rFonts w:ascii="Times New Roman" w:hAnsi="Times New Roman" w:cs="Times New Roman"/>
        </w:rPr>
        <w:t>d</w:t>
      </w:r>
      <w:r w:rsidRPr="004352D8">
        <w:rPr>
          <w:rFonts w:ascii="Times New Roman" w:hAnsi="Times New Roman" w:cs="Times New Roman"/>
        </w:rPr>
        <w:t xml:space="preserve">etriment claim against a co-worker, also based on his dismissal. </w:t>
      </w:r>
      <w:r>
        <w:rPr>
          <w:rFonts w:ascii="Times New Roman" w:hAnsi="Times New Roman" w:cs="Times New Roman"/>
        </w:rPr>
        <w:t xml:space="preserve">It follows from </w:t>
      </w:r>
      <w:r>
        <w:rPr>
          <w:rFonts w:ascii="Times New Roman" w:hAnsi="Times New Roman" w:cs="Times New Roman"/>
          <w:i/>
          <w:iCs/>
        </w:rPr>
        <w:t xml:space="preserve">Osipov </w:t>
      </w:r>
      <w:r>
        <w:rPr>
          <w:rFonts w:ascii="Times New Roman" w:hAnsi="Times New Roman" w:cs="Times New Roman"/>
        </w:rPr>
        <w:t xml:space="preserve">that an employee who initially makes a claim for unfair dismissal may later apply to amend that claim to include a detriment claim against a co-worker, which is based on his dismissal. Subject to any discretionary factors, such as the expiry of any relevant time limit, an ET faced with an application for such an amendment would be bound by </w:t>
      </w:r>
      <w:r>
        <w:rPr>
          <w:rFonts w:ascii="Times New Roman" w:hAnsi="Times New Roman" w:cs="Times New Roman"/>
          <w:i/>
          <w:iCs/>
        </w:rPr>
        <w:t xml:space="preserve">Osipov </w:t>
      </w:r>
      <w:r>
        <w:rPr>
          <w:rFonts w:ascii="Times New Roman" w:hAnsi="Times New Roman" w:cs="Times New Roman"/>
        </w:rPr>
        <w:t>to grant it.</w:t>
      </w:r>
    </w:p>
    <w:p w14:paraId="17167C12" w14:textId="7AB6BF53" w:rsidR="00376894" w:rsidRDefault="0037689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The question raised by these appeals is whether the decision in </w:t>
      </w:r>
      <w:r>
        <w:rPr>
          <w:rFonts w:ascii="Times New Roman" w:hAnsi="Times New Roman" w:cs="Times New Roman"/>
          <w:i/>
          <w:iCs/>
        </w:rPr>
        <w:t xml:space="preserve">Osipov </w:t>
      </w:r>
      <w:r w:rsidR="00E1444B">
        <w:rPr>
          <w:rFonts w:ascii="Times New Roman" w:hAnsi="Times New Roman" w:cs="Times New Roman"/>
        </w:rPr>
        <w:t xml:space="preserve">binds us to decide that </w:t>
      </w:r>
      <w:r>
        <w:rPr>
          <w:rFonts w:ascii="Times New Roman" w:hAnsi="Times New Roman" w:cs="Times New Roman"/>
        </w:rPr>
        <w:t xml:space="preserve">an employee </w:t>
      </w:r>
      <w:r w:rsidR="00C1093D">
        <w:rPr>
          <w:rFonts w:ascii="Times New Roman" w:hAnsi="Times New Roman" w:cs="Times New Roman"/>
        </w:rPr>
        <w:t xml:space="preserve">may </w:t>
      </w:r>
      <w:r>
        <w:rPr>
          <w:rFonts w:ascii="Times New Roman" w:hAnsi="Times New Roman" w:cs="Times New Roman"/>
        </w:rPr>
        <w:t xml:space="preserve">apply to amend an unfair dismissal claim to add such a detriment claim without joining the co-worker to the claim. An employee in such a case is in a relevantly similar position to that </w:t>
      </w:r>
      <w:r w:rsidR="000630B1">
        <w:rPr>
          <w:rFonts w:ascii="Times New Roman" w:hAnsi="Times New Roman" w:cs="Times New Roman"/>
        </w:rPr>
        <w:t xml:space="preserve">of </w:t>
      </w:r>
      <w:r>
        <w:rPr>
          <w:rFonts w:ascii="Times New Roman" w:hAnsi="Times New Roman" w:cs="Times New Roman"/>
        </w:rPr>
        <w:t xml:space="preserve">the employee in </w:t>
      </w:r>
      <w:r>
        <w:rPr>
          <w:rFonts w:ascii="Times New Roman" w:hAnsi="Times New Roman" w:cs="Times New Roman"/>
          <w:i/>
          <w:iCs/>
        </w:rPr>
        <w:t xml:space="preserve">Osipov </w:t>
      </w:r>
      <w:r>
        <w:rPr>
          <w:rFonts w:ascii="Times New Roman" w:hAnsi="Times New Roman" w:cs="Times New Roman"/>
        </w:rPr>
        <w:t>and to that of the employee posited in the last two sentences of the previous paragraph. This employee also wishes to rely on a provision introduced by the 2013 amendments, section 47</w:t>
      </w:r>
      <w:r w:rsidR="0009307D">
        <w:rPr>
          <w:rFonts w:ascii="Times New Roman" w:hAnsi="Times New Roman" w:cs="Times New Roman"/>
        </w:rPr>
        <w:t>B</w:t>
      </w:r>
      <w:r>
        <w:rPr>
          <w:rFonts w:ascii="Times New Roman" w:hAnsi="Times New Roman" w:cs="Times New Roman"/>
        </w:rPr>
        <w:t xml:space="preserve">(1B), despite the apparent statutory bar in section 47B(2). We are bound by the doctrine of precedent to give section 47B(2) the same interpretation in this slightly different context. If section 47B(2), as interpreted in </w:t>
      </w:r>
      <w:r w:rsidRPr="00910BA7">
        <w:rPr>
          <w:rFonts w:ascii="Times New Roman" w:hAnsi="Times New Roman" w:cs="Times New Roman"/>
          <w:i/>
          <w:iCs/>
        </w:rPr>
        <w:t>Osipov</w:t>
      </w:r>
      <w:r>
        <w:rPr>
          <w:rFonts w:ascii="Times New Roman" w:hAnsi="Times New Roman" w:cs="Times New Roman"/>
        </w:rPr>
        <w:t>, does not bar reliance on section 47B(1A), it cannot, at the same</w:t>
      </w:r>
      <w:r w:rsidR="007D7153">
        <w:rPr>
          <w:rFonts w:ascii="Times New Roman" w:hAnsi="Times New Roman" w:cs="Times New Roman"/>
        </w:rPr>
        <w:t xml:space="preserve"> time</w:t>
      </w:r>
      <w:r>
        <w:rPr>
          <w:rFonts w:ascii="Times New Roman" w:hAnsi="Times New Roman" w:cs="Times New Roman"/>
        </w:rPr>
        <w:t xml:space="preserve">, bar reliance on section 47B(1B). </w:t>
      </w:r>
      <w:r w:rsidR="005348CA" w:rsidRPr="002D0D9B">
        <w:rPr>
          <w:rFonts w:ascii="Times New Roman" w:hAnsi="Times New Roman" w:cs="Times New Roman"/>
        </w:rPr>
        <w:t>Th</w:t>
      </w:r>
      <w:r w:rsidR="005348CA">
        <w:rPr>
          <w:rFonts w:ascii="Times New Roman" w:hAnsi="Times New Roman" w:cs="Times New Roman"/>
        </w:rPr>
        <w:t xml:space="preserve">is </w:t>
      </w:r>
      <w:r>
        <w:rPr>
          <w:rFonts w:ascii="Times New Roman" w:hAnsi="Times New Roman" w:cs="Times New Roman"/>
        </w:rPr>
        <w:t>means that we are bound to hold that</w:t>
      </w:r>
      <w:r w:rsidR="00FB7206">
        <w:rPr>
          <w:rFonts w:ascii="Times New Roman" w:hAnsi="Times New Roman" w:cs="Times New Roman"/>
        </w:rPr>
        <w:t>,</w:t>
      </w:r>
      <w:r>
        <w:rPr>
          <w:rFonts w:ascii="Times New Roman" w:hAnsi="Times New Roman" w:cs="Times New Roman"/>
        </w:rPr>
        <w:t xml:space="preserve"> </w:t>
      </w:r>
      <w:r w:rsidR="0078088F">
        <w:rPr>
          <w:rFonts w:ascii="Times New Roman" w:hAnsi="Times New Roman" w:cs="Times New Roman"/>
        </w:rPr>
        <w:t>contrary to our own con</w:t>
      </w:r>
      <w:r w:rsidR="008A4731">
        <w:rPr>
          <w:rFonts w:ascii="Times New Roman" w:hAnsi="Times New Roman" w:cs="Times New Roman"/>
        </w:rPr>
        <w:t>s</w:t>
      </w:r>
      <w:r w:rsidR="0078088F">
        <w:rPr>
          <w:rFonts w:ascii="Times New Roman" w:hAnsi="Times New Roman" w:cs="Times New Roman"/>
        </w:rPr>
        <w:t>truction</w:t>
      </w:r>
      <w:r>
        <w:rPr>
          <w:rFonts w:ascii="Times New Roman" w:hAnsi="Times New Roman" w:cs="Times New Roman"/>
        </w:rPr>
        <w:t xml:space="preserve">, section 47B(2) does not bar the </w:t>
      </w:r>
      <w:r w:rsidR="00D864A5">
        <w:rPr>
          <w:rFonts w:ascii="Times New Roman" w:hAnsi="Times New Roman" w:cs="Times New Roman"/>
        </w:rPr>
        <w:t>amendments</w:t>
      </w:r>
      <w:r w:rsidR="00FF3C84">
        <w:rPr>
          <w:rFonts w:ascii="Times New Roman" w:hAnsi="Times New Roman" w:cs="Times New Roman"/>
        </w:rPr>
        <w:t xml:space="preserve"> proposed</w:t>
      </w:r>
      <w:r>
        <w:rPr>
          <w:rFonts w:ascii="Times New Roman" w:hAnsi="Times New Roman" w:cs="Times New Roman"/>
        </w:rPr>
        <w:t xml:space="preserve"> in </w:t>
      </w:r>
      <w:r w:rsidR="00F50433">
        <w:rPr>
          <w:rFonts w:ascii="Times New Roman" w:hAnsi="Times New Roman" w:cs="Times New Roman"/>
        </w:rPr>
        <w:t>the</w:t>
      </w:r>
      <w:r w:rsidR="008A4731">
        <w:rPr>
          <w:rFonts w:ascii="Times New Roman" w:hAnsi="Times New Roman" w:cs="Times New Roman"/>
        </w:rPr>
        <w:t xml:space="preserve"> present </w:t>
      </w:r>
      <w:r w:rsidR="00F50433">
        <w:rPr>
          <w:rFonts w:ascii="Times New Roman" w:hAnsi="Times New Roman" w:cs="Times New Roman"/>
        </w:rPr>
        <w:t>cases</w:t>
      </w:r>
      <w:r>
        <w:rPr>
          <w:rFonts w:ascii="Times New Roman" w:hAnsi="Times New Roman" w:cs="Times New Roman"/>
        </w:rPr>
        <w:t xml:space="preserve">. </w:t>
      </w:r>
    </w:p>
    <w:p w14:paraId="54A27F47" w14:textId="77777777" w:rsidR="00376894" w:rsidRDefault="0037689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Pr>
          <w:rFonts w:ascii="Times New Roman" w:hAnsi="Times New Roman" w:cs="Times New Roman"/>
        </w:rPr>
        <w:t xml:space="preserve">We note, further, that the EAT in </w:t>
      </w:r>
      <w:r>
        <w:rPr>
          <w:rFonts w:ascii="Times New Roman" w:hAnsi="Times New Roman" w:cs="Times New Roman"/>
          <w:i/>
          <w:iCs/>
        </w:rPr>
        <w:t xml:space="preserve">Wicked Vision </w:t>
      </w:r>
      <w:r>
        <w:rPr>
          <w:rFonts w:ascii="Times New Roman" w:hAnsi="Times New Roman" w:cs="Times New Roman"/>
        </w:rPr>
        <w:t xml:space="preserve">expressly held that </w:t>
      </w:r>
      <w:proofErr w:type="gramStart"/>
      <w:r>
        <w:rPr>
          <w:rFonts w:ascii="Times New Roman" w:hAnsi="Times New Roman" w:cs="Times New Roman"/>
        </w:rPr>
        <w:t>whether or not</w:t>
      </w:r>
      <w:proofErr w:type="gramEnd"/>
      <w:r>
        <w:rPr>
          <w:rFonts w:ascii="Times New Roman" w:hAnsi="Times New Roman" w:cs="Times New Roman"/>
        </w:rPr>
        <w:t xml:space="preserve"> the co-worker was added to the claim was irrelevant. There is no Respondent’s Notice challenging that reasoning. The EAT was right to make this point: it is supported by what we have said in the previous three paragraphs.</w:t>
      </w:r>
    </w:p>
    <w:p w14:paraId="78F99E3B" w14:textId="18B73469" w:rsidR="00376894" w:rsidRPr="00E86DF1" w:rsidRDefault="00376894" w:rsidP="00AC2BC7">
      <w:pPr>
        <w:pStyle w:val="ListParagraph"/>
        <w:numPr>
          <w:ilvl w:val="0"/>
          <w:numId w:val="11"/>
        </w:numPr>
        <w:spacing w:before="120" w:after="360" w:line="240" w:lineRule="auto"/>
        <w:ind w:hanging="720"/>
        <w:contextualSpacing w:val="0"/>
        <w:jc w:val="both"/>
        <w:rPr>
          <w:rFonts w:ascii="Times New Roman" w:hAnsi="Times New Roman" w:cs="Times New Roman"/>
        </w:rPr>
      </w:pPr>
      <w:r w:rsidRPr="00E86DF1">
        <w:rPr>
          <w:rFonts w:ascii="Times New Roman" w:hAnsi="Times New Roman" w:cs="Times New Roman"/>
        </w:rPr>
        <w:t xml:space="preserve">We therefore consider that </w:t>
      </w:r>
      <w:r w:rsidRPr="00E86DF1">
        <w:rPr>
          <w:rFonts w:ascii="Times New Roman" w:hAnsi="Times New Roman" w:cs="Times New Roman"/>
          <w:i/>
          <w:iCs/>
        </w:rPr>
        <w:t xml:space="preserve">Osipov </w:t>
      </w:r>
      <w:r w:rsidRPr="00E86DF1">
        <w:rPr>
          <w:rFonts w:ascii="Times New Roman" w:hAnsi="Times New Roman" w:cs="Times New Roman"/>
        </w:rPr>
        <w:t xml:space="preserve">was binding on the ETs in these cases, </w:t>
      </w:r>
      <w:proofErr w:type="gramStart"/>
      <w:r w:rsidRPr="00E86DF1">
        <w:rPr>
          <w:rFonts w:ascii="Times New Roman" w:hAnsi="Times New Roman" w:cs="Times New Roman"/>
        </w:rPr>
        <w:t>and also</w:t>
      </w:r>
      <w:proofErr w:type="gramEnd"/>
      <w:r w:rsidRPr="00E86DF1">
        <w:rPr>
          <w:rFonts w:ascii="Times New Roman" w:hAnsi="Times New Roman" w:cs="Times New Roman"/>
        </w:rPr>
        <w:t xml:space="preserve"> on us. There was some discussion in argument about whether Underhill LJ accurately encapsulated the ratio of </w:t>
      </w:r>
      <w:r w:rsidRPr="00E86DF1">
        <w:rPr>
          <w:rFonts w:ascii="Times New Roman" w:hAnsi="Times New Roman" w:cs="Times New Roman"/>
          <w:i/>
          <w:iCs/>
        </w:rPr>
        <w:t xml:space="preserve">Osipov </w:t>
      </w:r>
      <w:r w:rsidRPr="00E86DF1">
        <w:rPr>
          <w:rFonts w:ascii="Times New Roman" w:hAnsi="Times New Roman" w:cs="Times New Roman"/>
        </w:rPr>
        <w:t xml:space="preserve">in the first clause of the first sentence of paragraph 91(1) of his judgment, or whether he expressed the ratio in the whole paragraph (see paragraph 65, above). The first clause of the first sentence describes the actual decision in that case. But the rest of </w:t>
      </w:r>
      <w:r w:rsidR="00C66087">
        <w:rPr>
          <w:rFonts w:ascii="Times New Roman" w:hAnsi="Times New Roman" w:cs="Times New Roman"/>
        </w:rPr>
        <w:t xml:space="preserve">the </w:t>
      </w:r>
      <w:r w:rsidRPr="00E86DF1">
        <w:rPr>
          <w:rFonts w:ascii="Times New Roman" w:hAnsi="Times New Roman" w:cs="Times New Roman"/>
        </w:rPr>
        <w:t xml:space="preserve">paragraph flows inevitably from the first clause, because </w:t>
      </w:r>
      <w:r>
        <w:rPr>
          <w:rFonts w:ascii="Times New Roman" w:hAnsi="Times New Roman" w:cs="Times New Roman"/>
        </w:rPr>
        <w:t xml:space="preserve">it is </w:t>
      </w:r>
      <w:r w:rsidRPr="00E86DF1">
        <w:rPr>
          <w:rFonts w:ascii="Times New Roman" w:hAnsi="Times New Roman" w:cs="Times New Roman"/>
        </w:rPr>
        <w:t xml:space="preserve">based on the essential reasoning in </w:t>
      </w:r>
      <w:r w:rsidRPr="00E86DF1">
        <w:rPr>
          <w:rFonts w:ascii="Times New Roman" w:hAnsi="Times New Roman" w:cs="Times New Roman"/>
          <w:i/>
          <w:iCs/>
        </w:rPr>
        <w:t>Osipov</w:t>
      </w:r>
      <w:r w:rsidR="00BB39AB">
        <w:rPr>
          <w:rFonts w:ascii="Times New Roman" w:hAnsi="Times New Roman" w:cs="Times New Roman"/>
        </w:rPr>
        <w:t>, as w</w:t>
      </w:r>
      <w:r w:rsidR="00F41A75">
        <w:rPr>
          <w:rFonts w:ascii="Times New Roman" w:hAnsi="Times New Roman" w:cs="Times New Roman"/>
        </w:rPr>
        <w:t>e</w:t>
      </w:r>
      <w:r w:rsidR="00BB39AB">
        <w:rPr>
          <w:rFonts w:ascii="Times New Roman" w:hAnsi="Times New Roman" w:cs="Times New Roman"/>
        </w:rPr>
        <w:t xml:space="preserve"> have </w:t>
      </w:r>
      <w:r w:rsidR="00BE1A74">
        <w:rPr>
          <w:rFonts w:ascii="Times New Roman" w:hAnsi="Times New Roman" w:cs="Times New Roman"/>
        </w:rPr>
        <w:t xml:space="preserve">just </w:t>
      </w:r>
      <w:r w:rsidR="00BB39AB">
        <w:rPr>
          <w:rFonts w:ascii="Times New Roman" w:hAnsi="Times New Roman" w:cs="Times New Roman"/>
        </w:rPr>
        <w:t>described</w:t>
      </w:r>
      <w:r w:rsidR="00BE1A74">
        <w:rPr>
          <w:rFonts w:ascii="Times New Roman" w:hAnsi="Times New Roman" w:cs="Times New Roman"/>
        </w:rPr>
        <w:t xml:space="preserve"> it.</w:t>
      </w:r>
    </w:p>
    <w:p w14:paraId="4BEF8BFB" w14:textId="77777777" w:rsidR="00876D67" w:rsidRPr="00CC7808" w:rsidRDefault="00876D67" w:rsidP="00AC2BC7">
      <w:pPr>
        <w:spacing w:before="120" w:after="360"/>
        <w:jc w:val="both"/>
        <w:rPr>
          <w:i/>
          <w:iCs/>
        </w:rPr>
      </w:pPr>
      <w:r>
        <w:rPr>
          <w:i/>
          <w:iCs/>
        </w:rPr>
        <w:t>The consequences for these appeals</w:t>
      </w:r>
    </w:p>
    <w:p w14:paraId="3FDA0037" w14:textId="77777777" w:rsidR="00876D67" w:rsidRPr="00204BE4" w:rsidRDefault="00876D67"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Pr>
          <w:rFonts w:ascii="Times New Roman" w:hAnsi="Times New Roman" w:cs="Times New Roman"/>
        </w:rPr>
        <w:lastRenderedPageBreak/>
        <w:t>It is not necessary for us to consider the intervening reasoning of th</w:t>
      </w:r>
      <w:r w:rsidRPr="00204BE4">
        <w:rPr>
          <w:rFonts w:asciiTheme="majorBidi" w:hAnsiTheme="majorBidi" w:cstheme="majorBidi"/>
        </w:rPr>
        <w:t xml:space="preserve">e EAT in either of the appeals. All we would say is that we share the misgivings of Bourne J (in </w:t>
      </w:r>
      <w:r w:rsidRPr="00204BE4">
        <w:rPr>
          <w:rFonts w:asciiTheme="majorBidi" w:hAnsiTheme="majorBidi" w:cstheme="majorBidi"/>
          <w:i/>
          <w:iCs/>
        </w:rPr>
        <w:t>Wicked Vision</w:t>
      </w:r>
      <w:r w:rsidRPr="00204BE4">
        <w:rPr>
          <w:rFonts w:asciiTheme="majorBidi" w:hAnsiTheme="majorBidi" w:cstheme="majorBidi"/>
        </w:rPr>
        <w:t xml:space="preserve">) about the implications of the decision in </w:t>
      </w:r>
      <w:r w:rsidRPr="00204BE4">
        <w:rPr>
          <w:rFonts w:asciiTheme="majorBidi" w:hAnsiTheme="majorBidi" w:cstheme="majorBidi"/>
          <w:i/>
          <w:iCs/>
        </w:rPr>
        <w:t>Osipov</w:t>
      </w:r>
      <w:r w:rsidRPr="00204BE4">
        <w:rPr>
          <w:rFonts w:asciiTheme="majorBidi" w:hAnsiTheme="majorBidi" w:cstheme="majorBidi"/>
        </w:rPr>
        <w:t xml:space="preserve">. </w:t>
      </w:r>
    </w:p>
    <w:p w14:paraId="29470444" w14:textId="0C6AD85C" w:rsidR="00876D67" w:rsidRPr="00204BE4" w:rsidRDefault="00876D67"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sidRPr="00204BE4">
        <w:rPr>
          <w:rFonts w:asciiTheme="majorBidi" w:hAnsiTheme="majorBidi" w:cstheme="majorBidi"/>
        </w:rPr>
        <w:t xml:space="preserve">The upshot is that we are bound to allow the employee’s appeal in </w:t>
      </w:r>
      <w:r w:rsidRPr="00204BE4">
        <w:rPr>
          <w:rFonts w:asciiTheme="majorBidi" w:hAnsiTheme="majorBidi" w:cstheme="majorBidi"/>
          <w:i/>
          <w:iCs/>
        </w:rPr>
        <w:t xml:space="preserve">Wicked Vision </w:t>
      </w:r>
      <w:r w:rsidRPr="00204BE4">
        <w:rPr>
          <w:rFonts w:asciiTheme="majorBidi" w:hAnsiTheme="majorBidi" w:cstheme="majorBidi"/>
        </w:rPr>
        <w:t xml:space="preserve">and to dismiss the appeal in </w:t>
      </w:r>
      <w:r w:rsidRPr="00204BE4">
        <w:rPr>
          <w:rFonts w:asciiTheme="majorBidi" w:hAnsiTheme="majorBidi" w:cstheme="majorBidi"/>
          <w:i/>
          <w:iCs/>
        </w:rPr>
        <w:t>Barton Tu</w:t>
      </w:r>
      <w:r w:rsidR="007C75E3" w:rsidRPr="00204BE4">
        <w:rPr>
          <w:rFonts w:asciiTheme="majorBidi" w:hAnsiTheme="majorBidi" w:cstheme="majorBidi"/>
          <w:i/>
          <w:iCs/>
        </w:rPr>
        <w:t>r</w:t>
      </w:r>
      <w:r w:rsidRPr="00204BE4">
        <w:rPr>
          <w:rFonts w:asciiTheme="majorBidi" w:hAnsiTheme="majorBidi" w:cstheme="majorBidi"/>
          <w:i/>
          <w:iCs/>
        </w:rPr>
        <w:t>ns</w:t>
      </w:r>
      <w:r w:rsidRPr="00204BE4">
        <w:rPr>
          <w:rFonts w:asciiTheme="majorBidi" w:hAnsiTheme="majorBidi" w:cstheme="majorBidi"/>
        </w:rPr>
        <w:t>, subject to the discrete point about amendment</w:t>
      </w:r>
      <w:r w:rsidR="006E0C0D" w:rsidRPr="00204BE4">
        <w:rPr>
          <w:rFonts w:asciiTheme="majorBidi" w:hAnsiTheme="majorBidi" w:cstheme="majorBidi"/>
        </w:rPr>
        <w:t xml:space="preserve">, </w:t>
      </w:r>
      <w:r w:rsidR="00EE41FC" w:rsidRPr="00204BE4">
        <w:rPr>
          <w:rFonts w:asciiTheme="majorBidi" w:hAnsiTheme="majorBidi" w:cstheme="majorBidi"/>
        </w:rPr>
        <w:t xml:space="preserve">which we consider </w:t>
      </w:r>
      <w:r w:rsidR="005F0650" w:rsidRPr="00204BE4">
        <w:rPr>
          <w:rFonts w:asciiTheme="majorBidi" w:hAnsiTheme="majorBidi" w:cstheme="majorBidi"/>
        </w:rPr>
        <w:t>next</w:t>
      </w:r>
      <w:r w:rsidRPr="00204BE4">
        <w:rPr>
          <w:rFonts w:asciiTheme="majorBidi" w:hAnsiTheme="majorBidi" w:cstheme="majorBidi"/>
        </w:rPr>
        <w:t>.</w:t>
      </w:r>
    </w:p>
    <w:p w14:paraId="247B66B8" w14:textId="4B92B479" w:rsidR="00876D67" w:rsidRPr="006956D3" w:rsidRDefault="001A5999" w:rsidP="00AC2BC7">
      <w:pPr>
        <w:spacing w:before="120" w:after="360"/>
        <w:jc w:val="both"/>
        <w:rPr>
          <w:rFonts w:asciiTheme="majorBidi" w:hAnsiTheme="majorBidi" w:cstheme="majorBidi"/>
          <w:b/>
          <w:bCs/>
          <w:u w:val="single"/>
        </w:rPr>
      </w:pPr>
      <w:r>
        <w:rPr>
          <w:rFonts w:asciiTheme="majorBidi" w:hAnsiTheme="majorBidi" w:cstheme="majorBidi"/>
          <w:b/>
          <w:bCs/>
          <w:u w:val="single"/>
        </w:rPr>
        <w:t>7</w:t>
      </w:r>
      <w:r w:rsidR="00E47173" w:rsidRPr="006956D3">
        <w:rPr>
          <w:rFonts w:asciiTheme="majorBidi" w:hAnsiTheme="majorBidi" w:cstheme="majorBidi"/>
          <w:b/>
          <w:bCs/>
          <w:u w:val="single"/>
        </w:rPr>
        <w:t xml:space="preserve">. </w:t>
      </w:r>
      <w:r w:rsidR="00876D67" w:rsidRPr="006956D3">
        <w:rPr>
          <w:rFonts w:asciiTheme="majorBidi" w:hAnsiTheme="majorBidi" w:cstheme="majorBidi"/>
          <w:b/>
          <w:bCs/>
          <w:u w:val="single"/>
        </w:rPr>
        <w:t xml:space="preserve">The </w:t>
      </w:r>
      <w:r w:rsidR="00E47173" w:rsidRPr="006956D3">
        <w:rPr>
          <w:rFonts w:asciiTheme="majorBidi" w:hAnsiTheme="majorBidi" w:cstheme="majorBidi"/>
          <w:b/>
          <w:bCs/>
          <w:u w:val="single"/>
        </w:rPr>
        <w:t xml:space="preserve">other </w:t>
      </w:r>
      <w:r w:rsidR="00876D67" w:rsidRPr="006956D3">
        <w:rPr>
          <w:rFonts w:asciiTheme="majorBidi" w:hAnsiTheme="majorBidi" w:cstheme="majorBidi"/>
          <w:b/>
          <w:bCs/>
          <w:u w:val="single"/>
        </w:rPr>
        <w:t xml:space="preserve">amendments in </w:t>
      </w:r>
      <w:r w:rsidR="00876D67" w:rsidRPr="006956D3">
        <w:rPr>
          <w:rFonts w:asciiTheme="majorBidi" w:hAnsiTheme="majorBidi" w:cstheme="majorBidi"/>
          <w:b/>
          <w:bCs/>
          <w:i/>
          <w:iCs/>
          <w:u w:val="single"/>
        </w:rPr>
        <w:t>Barton Tu</w:t>
      </w:r>
      <w:r w:rsidR="005F0650" w:rsidRPr="006956D3">
        <w:rPr>
          <w:rFonts w:asciiTheme="majorBidi" w:hAnsiTheme="majorBidi" w:cstheme="majorBidi"/>
          <w:b/>
          <w:bCs/>
          <w:i/>
          <w:iCs/>
          <w:u w:val="single"/>
        </w:rPr>
        <w:t>r</w:t>
      </w:r>
      <w:r w:rsidR="00876D67" w:rsidRPr="006956D3">
        <w:rPr>
          <w:rFonts w:asciiTheme="majorBidi" w:hAnsiTheme="majorBidi" w:cstheme="majorBidi"/>
          <w:b/>
          <w:bCs/>
          <w:i/>
          <w:iCs/>
          <w:u w:val="single"/>
        </w:rPr>
        <w:t>ns</w:t>
      </w:r>
    </w:p>
    <w:p w14:paraId="475D0294" w14:textId="54BAADAD" w:rsidR="001652CC" w:rsidRPr="00204BE4" w:rsidRDefault="001652CC"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sidRPr="00204BE4">
        <w:rPr>
          <w:rFonts w:asciiTheme="majorBidi" w:hAnsiTheme="majorBidi" w:cstheme="majorBidi"/>
        </w:rPr>
        <w:t xml:space="preserve">Ground 3 of the </w:t>
      </w:r>
      <w:r w:rsidR="00BA6ADA">
        <w:rPr>
          <w:rFonts w:asciiTheme="majorBidi" w:hAnsiTheme="majorBidi" w:cstheme="majorBidi"/>
        </w:rPr>
        <w:t xml:space="preserve">employer’s </w:t>
      </w:r>
      <w:r w:rsidRPr="00204BE4">
        <w:rPr>
          <w:rFonts w:asciiTheme="majorBidi" w:hAnsiTheme="majorBidi" w:cstheme="majorBidi"/>
        </w:rPr>
        <w:t xml:space="preserve">appeal </w:t>
      </w:r>
      <w:r w:rsidR="009C1CF1" w:rsidRPr="00204BE4">
        <w:rPr>
          <w:rFonts w:asciiTheme="majorBidi" w:hAnsiTheme="majorBidi" w:cstheme="majorBidi"/>
        </w:rPr>
        <w:t xml:space="preserve">in </w:t>
      </w:r>
      <w:r w:rsidR="009C1CF1" w:rsidRPr="00204BE4">
        <w:rPr>
          <w:rFonts w:asciiTheme="majorBidi" w:hAnsiTheme="majorBidi" w:cstheme="majorBidi"/>
          <w:i/>
          <w:iCs/>
        </w:rPr>
        <w:t>Barton Tu</w:t>
      </w:r>
      <w:r w:rsidR="005F0650" w:rsidRPr="00204BE4">
        <w:rPr>
          <w:rFonts w:asciiTheme="majorBidi" w:hAnsiTheme="majorBidi" w:cstheme="majorBidi"/>
          <w:i/>
          <w:iCs/>
        </w:rPr>
        <w:t>r</w:t>
      </w:r>
      <w:r w:rsidR="009C1CF1" w:rsidRPr="00204BE4">
        <w:rPr>
          <w:rFonts w:asciiTheme="majorBidi" w:hAnsiTheme="majorBidi" w:cstheme="majorBidi"/>
          <w:i/>
          <w:iCs/>
        </w:rPr>
        <w:t>ns</w:t>
      </w:r>
      <w:r w:rsidR="009C1CF1" w:rsidRPr="00204BE4">
        <w:rPr>
          <w:rFonts w:asciiTheme="majorBidi" w:hAnsiTheme="majorBidi" w:cstheme="majorBidi"/>
        </w:rPr>
        <w:t xml:space="preserve"> </w:t>
      </w:r>
      <w:r w:rsidRPr="00204BE4">
        <w:rPr>
          <w:rFonts w:asciiTheme="majorBidi" w:hAnsiTheme="majorBidi" w:cstheme="majorBidi"/>
        </w:rPr>
        <w:t xml:space="preserve">raises a different and self-contained point. Paragraphs 9, 12 and 13 of the grounds of complaint </w:t>
      </w:r>
      <w:r w:rsidR="009C1CF1" w:rsidRPr="00204BE4">
        <w:rPr>
          <w:rFonts w:asciiTheme="majorBidi" w:hAnsiTheme="majorBidi" w:cstheme="majorBidi"/>
        </w:rPr>
        <w:t xml:space="preserve">attached to the claim form in that case </w:t>
      </w:r>
      <w:r w:rsidRPr="00204BE4">
        <w:rPr>
          <w:rFonts w:asciiTheme="majorBidi" w:hAnsiTheme="majorBidi" w:cstheme="majorBidi"/>
        </w:rPr>
        <w:t xml:space="preserve">identify three specific incidents on 4 June, 17 June and 20 June 2022 respectively. The claimant sought to amend those three paragraphs by adding an allegation that the event in question “amounted to a detriment”. </w:t>
      </w:r>
      <w:r w:rsidR="005D3BC8">
        <w:rPr>
          <w:rFonts w:asciiTheme="majorBidi" w:hAnsiTheme="majorBidi" w:cstheme="majorBidi"/>
        </w:rPr>
        <w:t xml:space="preserve">Permission to make those amendments </w:t>
      </w:r>
      <w:r w:rsidR="00C2169D">
        <w:rPr>
          <w:rFonts w:asciiTheme="majorBidi" w:hAnsiTheme="majorBidi" w:cstheme="majorBidi"/>
        </w:rPr>
        <w:t xml:space="preserve">was granted by the ET and upheld by the EAT. </w:t>
      </w:r>
      <w:r w:rsidRPr="00204BE4">
        <w:rPr>
          <w:rFonts w:asciiTheme="majorBidi" w:hAnsiTheme="majorBidi" w:cstheme="majorBidi"/>
        </w:rPr>
        <w:t>When granting permission to appeal</w:t>
      </w:r>
      <w:r w:rsidR="00C659C6">
        <w:rPr>
          <w:rFonts w:asciiTheme="majorBidi" w:hAnsiTheme="majorBidi" w:cstheme="majorBidi"/>
        </w:rPr>
        <w:t xml:space="preserve"> against that decision</w:t>
      </w:r>
      <w:r w:rsidRPr="00204BE4">
        <w:rPr>
          <w:rFonts w:asciiTheme="majorBidi" w:hAnsiTheme="majorBidi" w:cstheme="majorBidi"/>
        </w:rPr>
        <w:t xml:space="preserve">, Bean LJ said he was not so convinced </w:t>
      </w:r>
      <w:r w:rsidR="005D0100">
        <w:rPr>
          <w:rFonts w:asciiTheme="majorBidi" w:hAnsiTheme="majorBidi" w:cstheme="majorBidi"/>
        </w:rPr>
        <w:t>that</w:t>
      </w:r>
      <w:r w:rsidRPr="00204BE4">
        <w:rPr>
          <w:rFonts w:asciiTheme="majorBidi" w:hAnsiTheme="majorBidi" w:cstheme="majorBidi"/>
        </w:rPr>
        <w:t xml:space="preserve"> this ground</w:t>
      </w:r>
      <w:r w:rsidR="005D0100">
        <w:rPr>
          <w:rFonts w:asciiTheme="majorBidi" w:hAnsiTheme="majorBidi" w:cstheme="majorBidi"/>
        </w:rPr>
        <w:t xml:space="preserve"> was arguable</w:t>
      </w:r>
      <w:r w:rsidRPr="00204BE4">
        <w:rPr>
          <w:rFonts w:asciiTheme="majorBidi" w:hAnsiTheme="majorBidi" w:cstheme="majorBidi"/>
        </w:rPr>
        <w:t xml:space="preserve"> “but there is a degree of </w:t>
      </w:r>
      <w:proofErr w:type="gramStart"/>
      <w:r w:rsidRPr="00204BE4">
        <w:rPr>
          <w:rFonts w:asciiTheme="majorBidi" w:hAnsiTheme="majorBidi" w:cstheme="majorBidi"/>
        </w:rPr>
        <w:t>overlap</w:t>
      </w:r>
      <w:proofErr w:type="gramEnd"/>
      <w:r w:rsidRPr="00204BE4">
        <w:rPr>
          <w:rFonts w:asciiTheme="majorBidi" w:hAnsiTheme="majorBidi" w:cstheme="majorBidi"/>
        </w:rPr>
        <w:t xml:space="preserve"> and I therefore grant permission on that ground also”. </w:t>
      </w:r>
    </w:p>
    <w:p w14:paraId="5638C234" w14:textId="6AE39A2A" w:rsidR="001652CC" w:rsidRPr="00204BE4" w:rsidRDefault="001652CC"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sidRPr="00204BE4">
        <w:rPr>
          <w:rFonts w:asciiTheme="majorBidi" w:hAnsiTheme="majorBidi" w:cstheme="majorBidi"/>
        </w:rPr>
        <w:t>On analysis, this is</w:t>
      </w:r>
      <w:r w:rsidR="006A619E" w:rsidRPr="00204BE4">
        <w:rPr>
          <w:rFonts w:asciiTheme="majorBidi" w:hAnsiTheme="majorBidi" w:cstheme="majorBidi"/>
        </w:rPr>
        <w:t>, in substance,</w:t>
      </w:r>
      <w:r w:rsidR="00833ECD" w:rsidRPr="00204BE4">
        <w:rPr>
          <w:rFonts w:asciiTheme="majorBidi" w:hAnsiTheme="majorBidi" w:cstheme="majorBidi"/>
        </w:rPr>
        <w:t xml:space="preserve"> if not in law,</w:t>
      </w:r>
      <w:r w:rsidRPr="00204BE4">
        <w:rPr>
          <w:rFonts w:asciiTheme="majorBidi" w:hAnsiTheme="majorBidi" w:cstheme="majorBidi"/>
        </w:rPr>
        <w:t xml:space="preserve"> a </w:t>
      </w:r>
      <w:r w:rsidR="00833ECD" w:rsidRPr="00204BE4">
        <w:rPr>
          <w:rFonts w:asciiTheme="majorBidi" w:hAnsiTheme="majorBidi" w:cstheme="majorBidi"/>
        </w:rPr>
        <w:t>‘</w:t>
      </w:r>
      <w:r w:rsidRPr="00204BE4">
        <w:rPr>
          <w:rFonts w:asciiTheme="majorBidi" w:hAnsiTheme="majorBidi" w:cstheme="majorBidi"/>
        </w:rPr>
        <w:t>second appeal</w:t>
      </w:r>
      <w:r w:rsidR="00833ECD" w:rsidRPr="00204BE4">
        <w:rPr>
          <w:rFonts w:asciiTheme="majorBidi" w:hAnsiTheme="majorBidi" w:cstheme="majorBidi"/>
        </w:rPr>
        <w:t>’</w:t>
      </w:r>
      <w:r w:rsidRPr="00204BE4">
        <w:rPr>
          <w:rFonts w:asciiTheme="majorBidi" w:hAnsiTheme="majorBidi" w:cstheme="majorBidi"/>
        </w:rPr>
        <w:t xml:space="preserve"> because both the ET and the EAT granted permission for these amendments. Both tribunals indicated that these amendments amounted to no more than a relabelling exercise and were to be permitted. </w:t>
      </w:r>
      <w:r w:rsidR="00F44221" w:rsidRPr="00204BE4">
        <w:rPr>
          <w:rFonts w:asciiTheme="majorBidi" w:hAnsiTheme="majorBidi" w:cstheme="majorBidi"/>
        </w:rPr>
        <w:t xml:space="preserve">The employer </w:t>
      </w:r>
      <w:r w:rsidRPr="00204BE4">
        <w:rPr>
          <w:rFonts w:asciiTheme="majorBidi" w:hAnsiTheme="majorBidi" w:cstheme="majorBidi"/>
        </w:rPr>
        <w:t>complain</w:t>
      </w:r>
      <w:r w:rsidR="00F44221" w:rsidRPr="00204BE4">
        <w:rPr>
          <w:rFonts w:asciiTheme="majorBidi" w:hAnsiTheme="majorBidi" w:cstheme="majorBidi"/>
        </w:rPr>
        <w:t>s</w:t>
      </w:r>
      <w:r w:rsidRPr="00204BE4">
        <w:rPr>
          <w:rFonts w:asciiTheme="majorBidi" w:hAnsiTheme="majorBidi" w:cstheme="majorBidi"/>
        </w:rPr>
        <w:t xml:space="preserve"> about that, saying that these amendments add a new cause of action out of time and should not therefore be permitted. </w:t>
      </w:r>
    </w:p>
    <w:p w14:paraId="5A7F27F2" w14:textId="61F98862" w:rsidR="001652CC" w:rsidRPr="00204BE4" w:rsidRDefault="001652CC"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sidRPr="00204BE4">
        <w:rPr>
          <w:rFonts w:asciiTheme="majorBidi" w:hAnsiTheme="majorBidi" w:cstheme="majorBidi"/>
        </w:rPr>
        <w:t xml:space="preserve">We were referred to </w:t>
      </w:r>
      <w:proofErr w:type="gramStart"/>
      <w:r w:rsidRPr="00204BE4">
        <w:rPr>
          <w:rFonts w:asciiTheme="majorBidi" w:hAnsiTheme="majorBidi" w:cstheme="majorBidi"/>
        </w:rPr>
        <w:t>a number of</w:t>
      </w:r>
      <w:proofErr w:type="gramEnd"/>
      <w:r w:rsidRPr="00204BE4">
        <w:rPr>
          <w:rFonts w:asciiTheme="majorBidi" w:hAnsiTheme="majorBidi" w:cstheme="majorBidi"/>
        </w:rPr>
        <w:t xml:space="preserve"> authorities including </w:t>
      </w:r>
      <w:proofErr w:type="spellStart"/>
      <w:r w:rsidRPr="00204BE4">
        <w:rPr>
          <w:rFonts w:asciiTheme="majorBidi" w:hAnsiTheme="majorBidi" w:cstheme="majorBidi"/>
          <w:i/>
          <w:iCs/>
        </w:rPr>
        <w:t>Selkent</w:t>
      </w:r>
      <w:proofErr w:type="spellEnd"/>
      <w:r w:rsidRPr="00204BE4">
        <w:rPr>
          <w:rFonts w:asciiTheme="majorBidi" w:hAnsiTheme="majorBidi" w:cstheme="majorBidi"/>
          <w:i/>
          <w:iCs/>
        </w:rPr>
        <w:t xml:space="preserve"> Bus Co Limited v Moore </w:t>
      </w:r>
      <w:r w:rsidRPr="00204BE4">
        <w:rPr>
          <w:rFonts w:asciiTheme="majorBidi" w:hAnsiTheme="majorBidi" w:cstheme="majorBidi"/>
        </w:rPr>
        <w:t xml:space="preserve">[1996] ICR 836; </w:t>
      </w:r>
      <w:r w:rsidRPr="00204BE4">
        <w:rPr>
          <w:rFonts w:asciiTheme="majorBidi" w:hAnsiTheme="majorBidi" w:cstheme="majorBidi"/>
          <w:i/>
          <w:iCs/>
        </w:rPr>
        <w:t>Vaughan v Modality Partnership</w:t>
      </w:r>
      <w:r w:rsidRPr="00204BE4">
        <w:rPr>
          <w:rFonts w:asciiTheme="majorBidi" w:hAnsiTheme="majorBidi" w:cstheme="majorBidi"/>
        </w:rPr>
        <w:t xml:space="preserve"> [2021] ICR 535; and </w:t>
      </w:r>
      <w:r w:rsidRPr="00204BE4">
        <w:rPr>
          <w:rFonts w:asciiTheme="majorBidi" w:hAnsiTheme="majorBidi" w:cstheme="majorBidi"/>
          <w:i/>
          <w:iCs/>
        </w:rPr>
        <w:t xml:space="preserve">Abercrombie v Aga Rangemaster Limited </w:t>
      </w:r>
      <w:r w:rsidRPr="00204BE4">
        <w:rPr>
          <w:rFonts w:asciiTheme="majorBidi" w:hAnsiTheme="majorBidi" w:cstheme="majorBidi"/>
        </w:rPr>
        <w:t xml:space="preserve">[2014] ICR 209. To summarise the principles from those authorities </w:t>
      </w:r>
      <w:r w:rsidR="00E06D42" w:rsidRPr="00204BE4">
        <w:rPr>
          <w:rFonts w:asciiTheme="majorBidi" w:hAnsiTheme="majorBidi" w:cstheme="majorBidi"/>
        </w:rPr>
        <w:t xml:space="preserve">which are </w:t>
      </w:r>
      <w:r w:rsidRPr="00204BE4">
        <w:rPr>
          <w:rFonts w:asciiTheme="majorBidi" w:hAnsiTheme="majorBidi" w:cstheme="majorBidi"/>
        </w:rPr>
        <w:t>relevant to this application:</w:t>
      </w:r>
    </w:p>
    <w:p w14:paraId="5B2C4DB2" w14:textId="178295E6" w:rsidR="001652CC" w:rsidRPr="00204BE4" w:rsidRDefault="001652CC" w:rsidP="00AC2BC7">
      <w:pPr>
        <w:pStyle w:val="ParaLevel1"/>
        <w:numPr>
          <w:ilvl w:val="4"/>
          <w:numId w:val="18"/>
        </w:numPr>
        <w:spacing w:before="120" w:after="360"/>
        <w:rPr>
          <w:rFonts w:asciiTheme="majorBidi" w:hAnsiTheme="majorBidi" w:cstheme="majorBidi"/>
        </w:rPr>
      </w:pPr>
      <w:r w:rsidRPr="00204BE4">
        <w:rPr>
          <w:rFonts w:asciiTheme="majorBidi" w:hAnsiTheme="majorBidi" w:cstheme="majorBidi"/>
        </w:rPr>
        <w:t xml:space="preserve">When exercising the discretion to grant or refuse an amendment, the tribunal should </w:t>
      </w:r>
      <w:proofErr w:type="gramStart"/>
      <w:r w:rsidRPr="00204BE4">
        <w:rPr>
          <w:rFonts w:asciiTheme="majorBidi" w:hAnsiTheme="majorBidi" w:cstheme="majorBidi"/>
        </w:rPr>
        <w:t>take into account</w:t>
      </w:r>
      <w:proofErr w:type="gramEnd"/>
      <w:r w:rsidRPr="00204BE4">
        <w:rPr>
          <w:rFonts w:asciiTheme="majorBidi" w:hAnsiTheme="majorBidi" w:cstheme="majorBidi"/>
        </w:rPr>
        <w:t xml:space="preserve"> all the circumstances and should balance the injustice and hardship of allowing the amendment against the injustice and hardship of refusing it</w:t>
      </w:r>
      <w:r w:rsidR="00281E03">
        <w:rPr>
          <w:rFonts w:asciiTheme="majorBidi" w:hAnsiTheme="majorBidi" w:cstheme="majorBidi"/>
        </w:rPr>
        <w:t>.</w:t>
      </w:r>
    </w:p>
    <w:p w14:paraId="4DAD9D40" w14:textId="7D35E7E2" w:rsidR="001652CC" w:rsidRPr="00204BE4" w:rsidRDefault="001652CC" w:rsidP="00AC2BC7">
      <w:pPr>
        <w:pStyle w:val="ParaLevel1"/>
        <w:numPr>
          <w:ilvl w:val="4"/>
          <w:numId w:val="18"/>
        </w:numPr>
        <w:spacing w:before="120" w:after="360"/>
        <w:rPr>
          <w:rFonts w:asciiTheme="majorBidi" w:hAnsiTheme="majorBidi" w:cstheme="majorBidi"/>
        </w:rPr>
      </w:pPr>
      <w:r w:rsidRPr="00204BE4">
        <w:rPr>
          <w:rFonts w:asciiTheme="majorBidi" w:hAnsiTheme="majorBidi" w:cstheme="majorBidi"/>
        </w:rPr>
        <w:t xml:space="preserve">The nature of the amendment will be important. </w:t>
      </w:r>
      <w:r w:rsidR="006752FA" w:rsidRPr="00204BE4">
        <w:rPr>
          <w:rFonts w:asciiTheme="majorBidi" w:hAnsiTheme="majorBidi" w:cstheme="majorBidi"/>
        </w:rPr>
        <w:t xml:space="preserve">An amendment </w:t>
      </w:r>
      <w:r w:rsidRPr="00204BE4">
        <w:rPr>
          <w:rFonts w:asciiTheme="majorBidi" w:hAnsiTheme="majorBidi" w:cstheme="majorBidi"/>
        </w:rPr>
        <w:t>may range from, on the one hand, the correction of clerical and typing errors or the addition or substitution of other labels for facts already pleaded to, on the other, the making of entirely new factual allegations which change the basis of the existing claim</w:t>
      </w:r>
      <w:r w:rsidR="0071474D">
        <w:rPr>
          <w:rFonts w:asciiTheme="majorBidi" w:hAnsiTheme="majorBidi" w:cstheme="majorBidi"/>
        </w:rPr>
        <w:t>.</w:t>
      </w:r>
    </w:p>
    <w:p w14:paraId="18767632" w14:textId="61005D47" w:rsidR="001652CC" w:rsidRPr="00204BE4" w:rsidRDefault="001652CC" w:rsidP="00AC2BC7">
      <w:pPr>
        <w:pStyle w:val="ParaLevel1"/>
        <w:numPr>
          <w:ilvl w:val="4"/>
          <w:numId w:val="18"/>
        </w:numPr>
        <w:spacing w:before="120" w:after="360"/>
        <w:rPr>
          <w:rFonts w:asciiTheme="majorBidi" w:hAnsiTheme="majorBidi" w:cstheme="majorBidi"/>
        </w:rPr>
      </w:pPr>
      <w:r w:rsidRPr="00204BE4">
        <w:rPr>
          <w:rFonts w:asciiTheme="majorBidi" w:hAnsiTheme="majorBidi" w:cstheme="majorBidi"/>
        </w:rPr>
        <w:t>If a new complaint or cause of action is proposed, it is essential for the tribunal to consider whether that complaint is out of time.</w:t>
      </w:r>
    </w:p>
    <w:p w14:paraId="13A11CC1" w14:textId="17115DC6" w:rsidR="001652CC" w:rsidRPr="00204BE4" w:rsidRDefault="00291272"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Pr>
          <w:rFonts w:asciiTheme="majorBidi" w:hAnsiTheme="majorBidi" w:cstheme="majorBidi"/>
        </w:rPr>
        <w:t>L</w:t>
      </w:r>
      <w:r w:rsidR="001652CC" w:rsidRPr="00204BE4">
        <w:rPr>
          <w:rFonts w:asciiTheme="majorBidi" w:hAnsiTheme="majorBidi" w:cstheme="majorBidi"/>
        </w:rPr>
        <w:t xml:space="preserve">ike Underhill LJ in </w:t>
      </w:r>
      <w:r w:rsidR="001652CC" w:rsidRPr="00204BE4">
        <w:rPr>
          <w:rFonts w:asciiTheme="majorBidi" w:hAnsiTheme="majorBidi" w:cstheme="majorBidi"/>
          <w:i/>
          <w:iCs/>
        </w:rPr>
        <w:t xml:space="preserve">Abercrombie, </w:t>
      </w:r>
      <w:r w:rsidR="0070410D" w:rsidRPr="00204BE4">
        <w:rPr>
          <w:rFonts w:asciiTheme="majorBidi" w:hAnsiTheme="majorBidi" w:cstheme="majorBidi"/>
        </w:rPr>
        <w:t>we are</w:t>
      </w:r>
      <w:r w:rsidR="001652CC" w:rsidRPr="00204BE4">
        <w:rPr>
          <w:rFonts w:asciiTheme="majorBidi" w:hAnsiTheme="majorBidi" w:cstheme="majorBidi"/>
        </w:rPr>
        <w:t xml:space="preserve"> not persuaded that the additional sentence added to each of paragraphs 9, 12 and 13 in the present case amounted to a new cause </w:t>
      </w:r>
      <w:r w:rsidR="001652CC" w:rsidRPr="00204BE4">
        <w:rPr>
          <w:rFonts w:asciiTheme="majorBidi" w:hAnsiTheme="majorBidi" w:cstheme="majorBidi"/>
        </w:rPr>
        <w:lastRenderedPageBreak/>
        <w:t xml:space="preserve">of action. Reading the grounds of complaint </w:t>
      </w:r>
      <w:proofErr w:type="gramStart"/>
      <w:r w:rsidR="001652CC" w:rsidRPr="00204BE4">
        <w:rPr>
          <w:rFonts w:asciiTheme="majorBidi" w:hAnsiTheme="majorBidi" w:cstheme="majorBidi"/>
        </w:rPr>
        <w:t xml:space="preserve">as a whole </w:t>
      </w:r>
      <w:r w:rsidR="0070410D" w:rsidRPr="00204BE4">
        <w:rPr>
          <w:rFonts w:asciiTheme="majorBidi" w:hAnsiTheme="majorBidi" w:cstheme="majorBidi"/>
        </w:rPr>
        <w:t>we</w:t>
      </w:r>
      <w:proofErr w:type="gramEnd"/>
      <w:r w:rsidR="001652CC" w:rsidRPr="00204BE4">
        <w:rPr>
          <w:rFonts w:asciiTheme="majorBidi" w:hAnsiTheme="majorBidi" w:cstheme="majorBidi"/>
        </w:rPr>
        <w:t xml:space="preserve"> consider that a fair inference was always that these were intended to be allegations of detriment.</w:t>
      </w:r>
    </w:p>
    <w:p w14:paraId="26D8E19F" w14:textId="27B5A284" w:rsidR="001652CC" w:rsidRPr="00204BE4" w:rsidRDefault="001652CC"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sidRPr="00204BE4">
        <w:rPr>
          <w:rFonts w:asciiTheme="majorBidi" w:hAnsiTheme="majorBidi" w:cstheme="majorBidi"/>
        </w:rPr>
        <w:t xml:space="preserve">However, even if that were wrong, and this is in some way a new cause of action, </w:t>
      </w:r>
      <w:r w:rsidR="000E77D9" w:rsidRPr="00204BE4">
        <w:rPr>
          <w:rFonts w:asciiTheme="majorBidi" w:hAnsiTheme="majorBidi" w:cstheme="majorBidi"/>
        </w:rPr>
        <w:t>we are</w:t>
      </w:r>
      <w:r w:rsidRPr="00204BE4">
        <w:rPr>
          <w:rFonts w:asciiTheme="majorBidi" w:hAnsiTheme="majorBidi" w:cstheme="majorBidi"/>
        </w:rPr>
        <w:t xml:space="preserve"> in no doubt at all that both the ET and EAT were right to allow these amendments. They seem to </w:t>
      </w:r>
      <w:r w:rsidR="009C099A" w:rsidRPr="00204BE4">
        <w:rPr>
          <w:rFonts w:asciiTheme="majorBidi" w:hAnsiTheme="majorBidi" w:cstheme="majorBidi"/>
        </w:rPr>
        <w:t>us</w:t>
      </w:r>
      <w:r w:rsidRPr="00204BE4">
        <w:rPr>
          <w:rFonts w:asciiTheme="majorBidi" w:hAnsiTheme="majorBidi" w:cstheme="majorBidi"/>
        </w:rPr>
        <w:t xml:space="preserve"> to be a classic example of relabelling. There is no change in the factual material relied on: the </w:t>
      </w:r>
      <w:r w:rsidR="0044524C">
        <w:rPr>
          <w:rFonts w:asciiTheme="majorBidi" w:hAnsiTheme="majorBidi" w:cstheme="majorBidi"/>
        </w:rPr>
        <w:t>same</w:t>
      </w:r>
      <w:r w:rsidR="00522968">
        <w:rPr>
          <w:rFonts w:asciiTheme="majorBidi" w:hAnsiTheme="majorBidi" w:cstheme="majorBidi"/>
        </w:rPr>
        <w:t xml:space="preserve"> </w:t>
      </w:r>
      <w:r w:rsidRPr="00204BE4">
        <w:rPr>
          <w:rFonts w:asciiTheme="majorBidi" w:hAnsiTheme="majorBidi" w:cstheme="majorBidi"/>
        </w:rPr>
        <w:t>material is simply</w:t>
      </w:r>
      <w:r w:rsidR="00522968">
        <w:rPr>
          <w:rFonts w:asciiTheme="majorBidi" w:hAnsiTheme="majorBidi" w:cstheme="majorBidi"/>
        </w:rPr>
        <w:t xml:space="preserve"> now</w:t>
      </w:r>
      <w:r w:rsidRPr="00204BE4">
        <w:rPr>
          <w:rFonts w:asciiTheme="majorBidi" w:hAnsiTheme="majorBidi" w:cstheme="majorBidi"/>
        </w:rPr>
        <w:t xml:space="preserve"> deployed in support of a clear allegation of detriment. </w:t>
      </w:r>
    </w:p>
    <w:p w14:paraId="69544B81" w14:textId="704AA1C4" w:rsidR="001652CC" w:rsidRPr="00204BE4" w:rsidRDefault="001652CC"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sidRPr="00204BE4">
        <w:rPr>
          <w:rFonts w:asciiTheme="majorBidi" w:hAnsiTheme="majorBidi" w:cstheme="majorBidi"/>
        </w:rPr>
        <w:t xml:space="preserve">Although we were not referred to any of the older authorities on the point, Mr Jupp confirmed that these amendments arose out of the same or similar facts and matters as had originally been pleaded. That </w:t>
      </w:r>
      <w:r w:rsidR="00FF74DA">
        <w:rPr>
          <w:rFonts w:asciiTheme="majorBidi" w:hAnsiTheme="majorBidi" w:cstheme="majorBidi"/>
        </w:rPr>
        <w:t>has always been</w:t>
      </w:r>
      <w:r w:rsidRPr="00204BE4">
        <w:rPr>
          <w:rFonts w:asciiTheme="majorBidi" w:hAnsiTheme="majorBidi" w:cstheme="majorBidi"/>
        </w:rPr>
        <w:t xml:space="preserve"> the tried and trusted formulation when considering whether to allow late amendments, even if they introduce what might technically be regarded as a new cause of action: see CPR r.17.4, </w:t>
      </w:r>
      <w:r w:rsidRPr="00204BE4">
        <w:rPr>
          <w:rFonts w:asciiTheme="majorBidi" w:hAnsiTheme="majorBidi" w:cstheme="majorBidi"/>
          <w:i/>
          <w:iCs/>
        </w:rPr>
        <w:t xml:space="preserve">Brickfield Properties v Newton </w:t>
      </w:r>
      <w:r w:rsidRPr="00204BE4">
        <w:rPr>
          <w:rFonts w:asciiTheme="majorBidi" w:hAnsiTheme="majorBidi" w:cstheme="majorBidi"/>
        </w:rPr>
        <w:t xml:space="preserve">[1971] 1 WLR 862, </w:t>
      </w:r>
      <w:r w:rsidRPr="00204BE4">
        <w:rPr>
          <w:rFonts w:asciiTheme="majorBidi" w:hAnsiTheme="majorBidi" w:cstheme="majorBidi"/>
          <w:i/>
          <w:iCs/>
        </w:rPr>
        <w:t xml:space="preserve">and </w:t>
      </w:r>
      <w:proofErr w:type="spellStart"/>
      <w:r w:rsidRPr="00204BE4">
        <w:rPr>
          <w:rFonts w:asciiTheme="majorBidi" w:hAnsiTheme="majorBidi" w:cstheme="majorBidi"/>
          <w:i/>
          <w:iCs/>
        </w:rPr>
        <w:t>Mulalley</w:t>
      </w:r>
      <w:proofErr w:type="spellEnd"/>
      <w:r w:rsidRPr="00204BE4">
        <w:rPr>
          <w:rFonts w:asciiTheme="majorBidi" w:hAnsiTheme="majorBidi" w:cstheme="majorBidi"/>
          <w:i/>
          <w:iCs/>
        </w:rPr>
        <w:t xml:space="preserve"> &amp; Co v Martlet Homes Ltd </w:t>
      </w:r>
      <w:r w:rsidRPr="00204BE4">
        <w:rPr>
          <w:rFonts w:asciiTheme="majorBidi" w:hAnsiTheme="majorBidi" w:cstheme="majorBidi"/>
        </w:rPr>
        <w:t xml:space="preserve">[2022] EWCA </w:t>
      </w:r>
      <w:proofErr w:type="spellStart"/>
      <w:r w:rsidRPr="00204BE4">
        <w:rPr>
          <w:rFonts w:asciiTheme="majorBidi" w:hAnsiTheme="majorBidi" w:cstheme="majorBidi"/>
        </w:rPr>
        <w:t>Civ</w:t>
      </w:r>
      <w:proofErr w:type="spellEnd"/>
      <w:r w:rsidRPr="00204BE4">
        <w:rPr>
          <w:rFonts w:asciiTheme="majorBidi" w:hAnsiTheme="majorBidi" w:cstheme="majorBidi"/>
        </w:rPr>
        <w:t xml:space="preserve"> 32</w:t>
      </w:r>
      <w:r w:rsidRPr="00204BE4">
        <w:rPr>
          <w:rFonts w:asciiTheme="majorBidi" w:hAnsiTheme="majorBidi" w:cstheme="majorBidi"/>
          <w:i/>
          <w:iCs/>
        </w:rPr>
        <w:t>.</w:t>
      </w:r>
      <w:r w:rsidRPr="00204BE4">
        <w:rPr>
          <w:rFonts w:asciiTheme="majorBidi" w:hAnsiTheme="majorBidi" w:cstheme="majorBidi"/>
        </w:rPr>
        <w:t xml:space="preserve"> Here the amendments arise out of precisely the same facts and matters as </w:t>
      </w:r>
      <w:r w:rsidR="00FF74DA">
        <w:rPr>
          <w:rFonts w:asciiTheme="majorBidi" w:hAnsiTheme="majorBidi" w:cstheme="majorBidi"/>
        </w:rPr>
        <w:t>had</w:t>
      </w:r>
      <w:r w:rsidRPr="00204BE4">
        <w:rPr>
          <w:rFonts w:asciiTheme="majorBidi" w:hAnsiTheme="majorBidi" w:cstheme="majorBidi"/>
        </w:rPr>
        <w:t xml:space="preserve"> been originally pleaded. They were therefore rightly allowed by both tribunals. </w:t>
      </w:r>
    </w:p>
    <w:p w14:paraId="61E17D49" w14:textId="1D692359" w:rsidR="001652CC" w:rsidRDefault="009C099A"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sidRPr="00204BE4">
        <w:rPr>
          <w:rFonts w:asciiTheme="majorBidi" w:hAnsiTheme="majorBidi" w:cstheme="majorBidi"/>
        </w:rPr>
        <w:t xml:space="preserve">We </w:t>
      </w:r>
      <w:r w:rsidR="001652CC" w:rsidRPr="00204BE4">
        <w:rPr>
          <w:rFonts w:asciiTheme="majorBidi" w:hAnsiTheme="majorBidi" w:cstheme="majorBidi"/>
        </w:rPr>
        <w:t xml:space="preserve">would therefore dismiss ground 3 of the </w:t>
      </w:r>
      <w:r w:rsidR="001652CC" w:rsidRPr="000A2E73">
        <w:rPr>
          <w:rFonts w:asciiTheme="majorBidi" w:hAnsiTheme="majorBidi" w:cstheme="majorBidi"/>
          <w:i/>
          <w:iCs/>
        </w:rPr>
        <w:t>B</w:t>
      </w:r>
      <w:r w:rsidR="0041025D" w:rsidRPr="000A2E73">
        <w:rPr>
          <w:rFonts w:asciiTheme="majorBidi" w:hAnsiTheme="majorBidi" w:cstheme="majorBidi"/>
          <w:i/>
          <w:iCs/>
        </w:rPr>
        <w:t xml:space="preserve">arton </w:t>
      </w:r>
      <w:r w:rsidR="001652CC" w:rsidRPr="000A2E73">
        <w:rPr>
          <w:rFonts w:asciiTheme="majorBidi" w:hAnsiTheme="majorBidi" w:cstheme="majorBidi"/>
          <w:i/>
          <w:iCs/>
        </w:rPr>
        <w:t>T</w:t>
      </w:r>
      <w:r w:rsidR="0041025D" w:rsidRPr="000A2E73">
        <w:rPr>
          <w:rFonts w:asciiTheme="majorBidi" w:hAnsiTheme="majorBidi" w:cstheme="majorBidi"/>
          <w:i/>
          <w:iCs/>
        </w:rPr>
        <w:t>urns</w:t>
      </w:r>
      <w:r w:rsidR="001652CC" w:rsidRPr="00204BE4">
        <w:rPr>
          <w:rFonts w:asciiTheme="majorBidi" w:hAnsiTheme="majorBidi" w:cstheme="majorBidi"/>
        </w:rPr>
        <w:t xml:space="preserve"> appeal. </w:t>
      </w:r>
    </w:p>
    <w:p w14:paraId="04DCE284" w14:textId="09A2D307" w:rsidR="00F519F0" w:rsidRPr="00F519F0" w:rsidRDefault="00F519F0" w:rsidP="00AC2BC7">
      <w:pPr>
        <w:spacing w:before="120" w:after="360"/>
        <w:jc w:val="both"/>
        <w:rPr>
          <w:rFonts w:asciiTheme="majorBidi" w:hAnsiTheme="majorBidi" w:cstheme="majorBidi"/>
          <w:i/>
          <w:iCs/>
        </w:rPr>
      </w:pPr>
      <w:r>
        <w:rPr>
          <w:rFonts w:asciiTheme="majorBidi" w:hAnsiTheme="majorBidi" w:cstheme="majorBidi"/>
          <w:i/>
          <w:iCs/>
        </w:rPr>
        <w:t>Outcome</w:t>
      </w:r>
    </w:p>
    <w:p w14:paraId="21984700" w14:textId="5E911273" w:rsidR="006703AA" w:rsidRDefault="00457ED3" w:rsidP="00AC2BC7">
      <w:pPr>
        <w:pStyle w:val="ListParagraph"/>
        <w:numPr>
          <w:ilvl w:val="0"/>
          <w:numId w:val="11"/>
        </w:numPr>
        <w:spacing w:before="120" w:after="360" w:line="240" w:lineRule="auto"/>
        <w:ind w:hanging="720"/>
        <w:contextualSpacing w:val="0"/>
        <w:jc w:val="both"/>
        <w:rPr>
          <w:rFonts w:asciiTheme="majorBidi" w:hAnsiTheme="majorBidi" w:cstheme="majorBidi"/>
        </w:rPr>
      </w:pPr>
      <w:r>
        <w:rPr>
          <w:rFonts w:asciiTheme="majorBidi" w:hAnsiTheme="majorBidi" w:cstheme="majorBidi"/>
        </w:rPr>
        <w:t xml:space="preserve">The </w:t>
      </w:r>
      <w:r w:rsidR="009905E7">
        <w:rPr>
          <w:rFonts w:asciiTheme="majorBidi" w:hAnsiTheme="majorBidi" w:cstheme="majorBidi"/>
        </w:rPr>
        <w:t xml:space="preserve">appeal in </w:t>
      </w:r>
      <w:r w:rsidR="007F5147">
        <w:rPr>
          <w:rFonts w:asciiTheme="majorBidi" w:hAnsiTheme="majorBidi" w:cstheme="majorBidi"/>
          <w:i/>
          <w:iCs/>
        </w:rPr>
        <w:t xml:space="preserve">Wicked Vision </w:t>
      </w:r>
      <w:r w:rsidR="007F5147">
        <w:rPr>
          <w:rFonts w:asciiTheme="majorBidi" w:hAnsiTheme="majorBidi" w:cstheme="majorBidi"/>
        </w:rPr>
        <w:t xml:space="preserve">is allowed and the appeal in </w:t>
      </w:r>
      <w:r w:rsidR="007F5147" w:rsidRPr="0041419B">
        <w:rPr>
          <w:rFonts w:asciiTheme="majorBidi" w:hAnsiTheme="majorBidi" w:cstheme="majorBidi"/>
          <w:i/>
          <w:iCs/>
        </w:rPr>
        <w:t>Barton Turns</w:t>
      </w:r>
      <w:r w:rsidR="0041419B" w:rsidRPr="0041419B">
        <w:rPr>
          <w:rFonts w:asciiTheme="majorBidi" w:hAnsiTheme="majorBidi" w:cstheme="majorBidi"/>
          <w:i/>
          <w:iCs/>
        </w:rPr>
        <w:t xml:space="preserve"> </w:t>
      </w:r>
      <w:r w:rsidR="0041419B" w:rsidRPr="0041419B">
        <w:rPr>
          <w:rFonts w:asciiTheme="majorBidi" w:hAnsiTheme="majorBidi" w:cstheme="majorBidi"/>
        </w:rPr>
        <w:t>is dismissed.</w:t>
      </w:r>
      <w:r w:rsidR="00242C83">
        <w:rPr>
          <w:rFonts w:asciiTheme="majorBidi" w:hAnsiTheme="majorBidi" w:cstheme="majorBidi"/>
        </w:rPr>
        <w:t xml:space="preserve"> It is plainly unsatisfactory that the</w:t>
      </w:r>
      <w:r w:rsidR="00006A97">
        <w:rPr>
          <w:rFonts w:asciiTheme="majorBidi" w:hAnsiTheme="majorBidi" w:cstheme="majorBidi"/>
        </w:rPr>
        <w:t xml:space="preserve"> construction of this legislation has now produced </w:t>
      </w:r>
      <w:r w:rsidR="00242C83">
        <w:rPr>
          <w:rFonts w:asciiTheme="majorBidi" w:hAnsiTheme="majorBidi" w:cstheme="majorBidi"/>
        </w:rPr>
        <w:t>conflicting decisions at three levels of court</w:t>
      </w:r>
      <w:r w:rsidR="00857CEC">
        <w:rPr>
          <w:rFonts w:asciiTheme="majorBidi" w:hAnsiTheme="majorBidi" w:cstheme="majorBidi"/>
        </w:rPr>
        <w:t xml:space="preserve">, but that can only be resolved by the Supreme Court or by amendment </w:t>
      </w:r>
      <w:r w:rsidR="009D5BAA">
        <w:rPr>
          <w:rFonts w:asciiTheme="majorBidi" w:hAnsiTheme="majorBidi" w:cstheme="majorBidi"/>
        </w:rPr>
        <w:t>to</w:t>
      </w:r>
      <w:r w:rsidR="00857CEC">
        <w:rPr>
          <w:rFonts w:asciiTheme="majorBidi" w:hAnsiTheme="majorBidi" w:cstheme="majorBidi"/>
        </w:rPr>
        <w:t xml:space="preserve"> the legislation. </w:t>
      </w:r>
      <w:r w:rsidR="00242C83">
        <w:rPr>
          <w:rFonts w:asciiTheme="majorBidi" w:hAnsiTheme="majorBidi" w:cstheme="majorBidi"/>
        </w:rPr>
        <w:t xml:space="preserve"> </w:t>
      </w:r>
    </w:p>
    <w:p w14:paraId="47BDFBB3" w14:textId="199E017F" w:rsidR="008A128A" w:rsidRPr="008A128A" w:rsidRDefault="00AB4635" w:rsidP="00AC2BC7">
      <w:pPr>
        <w:spacing w:before="120" w:after="360"/>
        <w:jc w:val="center"/>
        <w:rPr>
          <w:rFonts w:asciiTheme="majorBidi" w:hAnsiTheme="majorBidi" w:cstheme="majorBidi"/>
        </w:rPr>
      </w:pPr>
      <w:r>
        <w:rPr>
          <w:rFonts w:asciiTheme="majorBidi" w:hAnsiTheme="majorBidi" w:cstheme="majorBidi"/>
        </w:rPr>
        <w:t>_______________________</w:t>
      </w:r>
    </w:p>
    <w:sectPr w:rsidR="008A128A" w:rsidRPr="008A128A" w:rsidSect="00AC2BC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DDB7" w14:textId="77777777" w:rsidR="008D4E08" w:rsidRDefault="008D4E08">
      <w:r>
        <w:separator/>
      </w:r>
    </w:p>
  </w:endnote>
  <w:endnote w:type="continuationSeparator" w:id="0">
    <w:p w14:paraId="454C0841" w14:textId="77777777" w:rsidR="008D4E08" w:rsidRDefault="008D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1492"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50689"/>
      <w:docPartObj>
        <w:docPartGallery w:val="Page Numbers (Bottom of Page)"/>
        <w:docPartUnique/>
      </w:docPartObj>
    </w:sdtPr>
    <w:sdtEndPr>
      <w:rPr>
        <w:noProof/>
      </w:rPr>
    </w:sdtEndPr>
    <w:sdtContent>
      <w:p w14:paraId="4A154AE8" w14:textId="34DE8918" w:rsidR="00B17D14" w:rsidRDefault="00B17D14">
        <w:pPr>
          <w:pStyle w:val="Footer"/>
          <w:jc w:val="center"/>
        </w:pPr>
        <w:r w:rsidRPr="00B17D14">
          <w:rPr>
            <w:rFonts w:asciiTheme="majorHAnsi" w:hAnsiTheme="majorHAnsi" w:cstheme="majorHAnsi"/>
            <w:sz w:val="16"/>
            <w:szCs w:val="16"/>
          </w:rPr>
          <w:fldChar w:fldCharType="begin"/>
        </w:r>
        <w:r w:rsidRPr="00B17D14">
          <w:rPr>
            <w:rFonts w:asciiTheme="majorHAnsi" w:hAnsiTheme="majorHAnsi" w:cstheme="majorHAnsi"/>
            <w:sz w:val="16"/>
            <w:szCs w:val="16"/>
          </w:rPr>
          <w:instrText xml:space="preserve"> PAGE   \* MERGEFORMAT </w:instrText>
        </w:r>
        <w:r w:rsidRPr="00B17D14">
          <w:rPr>
            <w:rFonts w:asciiTheme="majorHAnsi" w:hAnsiTheme="majorHAnsi" w:cstheme="majorHAnsi"/>
            <w:sz w:val="16"/>
            <w:szCs w:val="16"/>
          </w:rPr>
          <w:fldChar w:fldCharType="separate"/>
        </w:r>
        <w:r w:rsidRPr="00B17D14">
          <w:rPr>
            <w:rFonts w:asciiTheme="majorHAnsi" w:hAnsiTheme="majorHAnsi" w:cstheme="majorHAnsi"/>
            <w:noProof/>
            <w:sz w:val="16"/>
            <w:szCs w:val="16"/>
          </w:rPr>
          <w:t>2</w:t>
        </w:r>
        <w:r w:rsidRPr="00B17D14">
          <w:rPr>
            <w:rFonts w:asciiTheme="majorHAnsi" w:hAnsiTheme="majorHAnsi" w:cstheme="majorHAnsi"/>
            <w:noProof/>
            <w:sz w:val="16"/>
            <w:szCs w:val="16"/>
          </w:rPr>
          <w:fldChar w:fldCharType="end"/>
        </w:r>
      </w:p>
    </w:sdtContent>
  </w:sdt>
  <w:p w14:paraId="53953CF7" w14:textId="77777777" w:rsidR="00C439A3" w:rsidRPr="00AC2BC7" w:rsidRDefault="00C439A3" w:rsidP="00AC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8C0" w14:textId="77777777" w:rsidR="008D4E08" w:rsidRDefault="008D4E08">
      <w:r>
        <w:separator/>
      </w:r>
    </w:p>
  </w:footnote>
  <w:footnote w:type="continuationSeparator" w:id="0">
    <w:p w14:paraId="257C9661" w14:textId="77777777" w:rsidR="008D4E08" w:rsidRDefault="008D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3E4664F2" w14:textId="77777777">
      <w:tc>
        <w:tcPr>
          <w:tcW w:w="4622" w:type="dxa"/>
        </w:tcPr>
        <w:p w14:paraId="5E9B17DD" w14:textId="0A065F57" w:rsidR="00C439A3" w:rsidRPr="00AC2BC7" w:rsidRDefault="00AC2BC7" w:rsidP="005C56E2">
          <w:pPr>
            <w:pStyle w:val="Header"/>
            <w:ind w:left="-107"/>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5A02A037" w14:textId="77777777" w:rsidR="00C439A3" w:rsidRDefault="00780DC9">
          <w:pPr>
            <w:pStyle w:val="Header"/>
            <w:jc w:val="right"/>
            <w:rPr>
              <w:rFonts w:ascii="Times New Roman" w:hAnsi="Times New Roman"/>
              <w:sz w:val="16"/>
            </w:rPr>
          </w:pPr>
          <w:r>
            <w:rPr>
              <w:rFonts w:ascii="Times New Roman" w:hAnsi="Times New Roman"/>
              <w:sz w:val="16"/>
            </w:rPr>
            <w:t>Rice</w:t>
          </w:r>
          <w:r w:rsidR="003D5724">
            <w:rPr>
              <w:rFonts w:ascii="Times New Roman" w:hAnsi="Times New Roman"/>
              <w:sz w:val="16"/>
            </w:rPr>
            <w:t xml:space="preserve"> v Wicked Vision Ltd</w:t>
          </w:r>
        </w:p>
        <w:p w14:paraId="7EEF52BF" w14:textId="53BA4F9F" w:rsidR="003D5724" w:rsidRDefault="003D5724">
          <w:pPr>
            <w:pStyle w:val="Header"/>
            <w:jc w:val="right"/>
            <w:rPr>
              <w:rFonts w:ascii="Times New Roman" w:hAnsi="Times New Roman"/>
              <w:sz w:val="16"/>
            </w:rPr>
          </w:pPr>
          <w:r>
            <w:rPr>
              <w:rFonts w:ascii="Times New Roman" w:hAnsi="Times New Roman"/>
              <w:sz w:val="16"/>
            </w:rPr>
            <w:t>Barton Turns Developments Limited v Treadwell</w:t>
          </w:r>
        </w:p>
      </w:tc>
    </w:tr>
  </w:tbl>
  <w:p w14:paraId="2D9B5F9F"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DA07569"/>
    <w:multiLevelType w:val="hybridMultilevel"/>
    <w:tmpl w:val="ABD47D86"/>
    <w:lvl w:ilvl="0" w:tplc="DDACAD9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24204"/>
    <w:multiLevelType w:val="hybridMultilevel"/>
    <w:tmpl w:val="E132C6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F66B1A"/>
    <w:multiLevelType w:val="hybridMultilevel"/>
    <w:tmpl w:val="B95C88A0"/>
    <w:lvl w:ilvl="0" w:tplc="A2309D48">
      <w:start w:val="1"/>
      <w:numFmt w:val="decimal"/>
      <w:lvlText w:val="%1."/>
      <w:lvlJc w:val="left"/>
      <w:pPr>
        <w:ind w:left="720" w:hanging="360"/>
      </w:pPr>
      <w:rPr>
        <w:rFonts w:asciiTheme="majorBidi" w:hAnsiTheme="majorBidi" w:cstheme="majorBidi"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84662E8">
      <w:start w:val="1"/>
      <w:numFmt w:val="lowerLetter"/>
      <w:lvlText w:val="(%5)"/>
      <w:lvlJc w:val="left"/>
      <w:pPr>
        <w:ind w:left="3620" w:hanging="38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43024"/>
    <w:multiLevelType w:val="hybridMultilevel"/>
    <w:tmpl w:val="E132C6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E533E4"/>
    <w:multiLevelType w:val="hybridMultilevel"/>
    <w:tmpl w:val="E4308D0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A1A64B8"/>
    <w:multiLevelType w:val="hybridMultilevel"/>
    <w:tmpl w:val="8C3453B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0711F97"/>
    <w:multiLevelType w:val="hybridMultilevel"/>
    <w:tmpl w:val="6A2EE3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08090011">
      <w:start w:val="1"/>
      <w:numFmt w:val="decimal"/>
      <w:lvlText w:val="%5)"/>
      <w:lvlJc w:val="left"/>
      <w:pPr>
        <w:ind w:left="144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341855155">
    <w:abstractNumId w:val="8"/>
  </w:num>
  <w:num w:numId="2" w16cid:durableId="932202221">
    <w:abstractNumId w:val="8"/>
  </w:num>
  <w:num w:numId="3" w16cid:durableId="1886791643">
    <w:abstractNumId w:val="8"/>
  </w:num>
  <w:num w:numId="4" w16cid:durableId="912084023">
    <w:abstractNumId w:val="8"/>
  </w:num>
  <w:num w:numId="5" w16cid:durableId="2035496088">
    <w:abstractNumId w:val="8"/>
  </w:num>
  <w:num w:numId="6" w16cid:durableId="1054161292">
    <w:abstractNumId w:val="8"/>
  </w:num>
  <w:num w:numId="7" w16cid:durableId="377514649">
    <w:abstractNumId w:val="8"/>
  </w:num>
  <w:num w:numId="8" w16cid:durableId="639112691">
    <w:abstractNumId w:val="8"/>
  </w:num>
  <w:num w:numId="9" w16cid:durableId="179010291">
    <w:abstractNumId w:val="8"/>
  </w:num>
  <w:num w:numId="10" w16cid:durableId="438723959">
    <w:abstractNumId w:val="0"/>
  </w:num>
  <w:num w:numId="11" w16cid:durableId="910195232">
    <w:abstractNumId w:val="3"/>
  </w:num>
  <w:num w:numId="12" w16cid:durableId="328139431">
    <w:abstractNumId w:val="4"/>
  </w:num>
  <w:num w:numId="13" w16cid:durableId="1230532338">
    <w:abstractNumId w:val="2"/>
  </w:num>
  <w:num w:numId="14" w16cid:durableId="417212105">
    <w:abstractNumId w:val="1"/>
  </w:num>
  <w:num w:numId="15" w16cid:durableId="1195385783">
    <w:abstractNumId w:val="6"/>
  </w:num>
  <w:num w:numId="16" w16cid:durableId="314795294">
    <w:abstractNumId w:val="8"/>
  </w:num>
  <w:num w:numId="17" w16cid:durableId="938949314">
    <w:abstractNumId w:val="5"/>
  </w:num>
  <w:num w:numId="18" w16cid:durableId="474227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67"/>
    <w:rsid w:val="00000FC6"/>
    <w:rsid w:val="00000FCD"/>
    <w:rsid w:val="00006A97"/>
    <w:rsid w:val="00010D91"/>
    <w:rsid w:val="00011B78"/>
    <w:rsid w:val="0001290C"/>
    <w:rsid w:val="00013ACD"/>
    <w:rsid w:val="0001494C"/>
    <w:rsid w:val="0001662D"/>
    <w:rsid w:val="000219E9"/>
    <w:rsid w:val="00027253"/>
    <w:rsid w:val="000332D0"/>
    <w:rsid w:val="00035504"/>
    <w:rsid w:val="00037B5C"/>
    <w:rsid w:val="00037F87"/>
    <w:rsid w:val="00043B2C"/>
    <w:rsid w:val="0004795C"/>
    <w:rsid w:val="000501EB"/>
    <w:rsid w:val="00052EF3"/>
    <w:rsid w:val="00056098"/>
    <w:rsid w:val="0005667A"/>
    <w:rsid w:val="00056C54"/>
    <w:rsid w:val="00056EB6"/>
    <w:rsid w:val="00060612"/>
    <w:rsid w:val="000625E3"/>
    <w:rsid w:val="000630B1"/>
    <w:rsid w:val="000639C9"/>
    <w:rsid w:val="00065944"/>
    <w:rsid w:val="000676B6"/>
    <w:rsid w:val="00070249"/>
    <w:rsid w:val="0007138E"/>
    <w:rsid w:val="000717C9"/>
    <w:rsid w:val="000776E1"/>
    <w:rsid w:val="00083CEB"/>
    <w:rsid w:val="000845D0"/>
    <w:rsid w:val="00084CC4"/>
    <w:rsid w:val="00087B1F"/>
    <w:rsid w:val="0009307D"/>
    <w:rsid w:val="0009350E"/>
    <w:rsid w:val="0009390A"/>
    <w:rsid w:val="000939E7"/>
    <w:rsid w:val="00094824"/>
    <w:rsid w:val="00095E8A"/>
    <w:rsid w:val="000A0884"/>
    <w:rsid w:val="000A1C3D"/>
    <w:rsid w:val="000A288A"/>
    <w:rsid w:val="000A2E5B"/>
    <w:rsid w:val="000A2E73"/>
    <w:rsid w:val="000A31DF"/>
    <w:rsid w:val="000A6EA2"/>
    <w:rsid w:val="000A6F4D"/>
    <w:rsid w:val="000A778D"/>
    <w:rsid w:val="000B35B7"/>
    <w:rsid w:val="000B50D0"/>
    <w:rsid w:val="000C04C6"/>
    <w:rsid w:val="000C0C1A"/>
    <w:rsid w:val="000C3C7C"/>
    <w:rsid w:val="000D4AF4"/>
    <w:rsid w:val="000D5638"/>
    <w:rsid w:val="000D5F73"/>
    <w:rsid w:val="000D7DC7"/>
    <w:rsid w:val="000E10B2"/>
    <w:rsid w:val="000E3E5B"/>
    <w:rsid w:val="000E40E0"/>
    <w:rsid w:val="000E77D9"/>
    <w:rsid w:val="000E7C1B"/>
    <w:rsid w:val="000F1FC2"/>
    <w:rsid w:val="000F4BA5"/>
    <w:rsid w:val="000F580E"/>
    <w:rsid w:val="000F727D"/>
    <w:rsid w:val="001052B2"/>
    <w:rsid w:val="00106E69"/>
    <w:rsid w:val="00106ECC"/>
    <w:rsid w:val="00111108"/>
    <w:rsid w:val="0011383A"/>
    <w:rsid w:val="00115721"/>
    <w:rsid w:val="00122D95"/>
    <w:rsid w:val="00123131"/>
    <w:rsid w:val="001234EF"/>
    <w:rsid w:val="001242B4"/>
    <w:rsid w:val="0012431D"/>
    <w:rsid w:val="0012470E"/>
    <w:rsid w:val="00125581"/>
    <w:rsid w:val="00125D36"/>
    <w:rsid w:val="00126572"/>
    <w:rsid w:val="001335AE"/>
    <w:rsid w:val="00133FE3"/>
    <w:rsid w:val="00134598"/>
    <w:rsid w:val="00145843"/>
    <w:rsid w:val="001473C0"/>
    <w:rsid w:val="001520A8"/>
    <w:rsid w:val="00153C2B"/>
    <w:rsid w:val="00160178"/>
    <w:rsid w:val="00161305"/>
    <w:rsid w:val="00161512"/>
    <w:rsid w:val="001618C6"/>
    <w:rsid w:val="001651E0"/>
    <w:rsid w:val="001652CC"/>
    <w:rsid w:val="00172AE1"/>
    <w:rsid w:val="00172BEC"/>
    <w:rsid w:val="0017432C"/>
    <w:rsid w:val="00175254"/>
    <w:rsid w:val="001756BB"/>
    <w:rsid w:val="00175C78"/>
    <w:rsid w:val="0018011B"/>
    <w:rsid w:val="0018050A"/>
    <w:rsid w:val="0018072B"/>
    <w:rsid w:val="001835A4"/>
    <w:rsid w:val="00183982"/>
    <w:rsid w:val="001856C9"/>
    <w:rsid w:val="00185C98"/>
    <w:rsid w:val="0018734B"/>
    <w:rsid w:val="00190742"/>
    <w:rsid w:val="001964EF"/>
    <w:rsid w:val="001A001D"/>
    <w:rsid w:val="001A101A"/>
    <w:rsid w:val="001A2A63"/>
    <w:rsid w:val="001A2EF5"/>
    <w:rsid w:val="001A4906"/>
    <w:rsid w:val="001A4AB8"/>
    <w:rsid w:val="001A5378"/>
    <w:rsid w:val="001A5999"/>
    <w:rsid w:val="001A603C"/>
    <w:rsid w:val="001A78D0"/>
    <w:rsid w:val="001B2F5E"/>
    <w:rsid w:val="001B44FE"/>
    <w:rsid w:val="001B5446"/>
    <w:rsid w:val="001B77BF"/>
    <w:rsid w:val="001C5039"/>
    <w:rsid w:val="001C511B"/>
    <w:rsid w:val="001C73D1"/>
    <w:rsid w:val="001C781D"/>
    <w:rsid w:val="001C7E12"/>
    <w:rsid w:val="001D17F1"/>
    <w:rsid w:val="001D3B26"/>
    <w:rsid w:val="001D4620"/>
    <w:rsid w:val="001D694F"/>
    <w:rsid w:val="001D7F94"/>
    <w:rsid w:val="001E0256"/>
    <w:rsid w:val="001E0E3D"/>
    <w:rsid w:val="001E2D1F"/>
    <w:rsid w:val="001E47FE"/>
    <w:rsid w:val="001E4C1C"/>
    <w:rsid w:val="001E5EFF"/>
    <w:rsid w:val="001F148A"/>
    <w:rsid w:val="001F4662"/>
    <w:rsid w:val="001F4A0F"/>
    <w:rsid w:val="001F4A8B"/>
    <w:rsid w:val="002010FD"/>
    <w:rsid w:val="00202D01"/>
    <w:rsid w:val="00204BE4"/>
    <w:rsid w:val="00205138"/>
    <w:rsid w:val="00206B06"/>
    <w:rsid w:val="002103B0"/>
    <w:rsid w:val="00210DC5"/>
    <w:rsid w:val="00211DFF"/>
    <w:rsid w:val="00213FB5"/>
    <w:rsid w:val="0021516F"/>
    <w:rsid w:val="002172F3"/>
    <w:rsid w:val="0021765D"/>
    <w:rsid w:val="00221113"/>
    <w:rsid w:val="002249C5"/>
    <w:rsid w:val="00227B0F"/>
    <w:rsid w:val="002344FF"/>
    <w:rsid w:val="0023476C"/>
    <w:rsid w:val="00236CAD"/>
    <w:rsid w:val="00237E76"/>
    <w:rsid w:val="00242C83"/>
    <w:rsid w:val="00244428"/>
    <w:rsid w:val="002505E5"/>
    <w:rsid w:val="002509C1"/>
    <w:rsid w:val="00256A6F"/>
    <w:rsid w:val="0025772D"/>
    <w:rsid w:val="00260EDF"/>
    <w:rsid w:val="00261DD6"/>
    <w:rsid w:val="002625A9"/>
    <w:rsid w:val="00263E8F"/>
    <w:rsid w:val="00270229"/>
    <w:rsid w:val="00270CDE"/>
    <w:rsid w:val="00275B45"/>
    <w:rsid w:val="00277D14"/>
    <w:rsid w:val="00281E03"/>
    <w:rsid w:val="002857F9"/>
    <w:rsid w:val="00291272"/>
    <w:rsid w:val="00295CD7"/>
    <w:rsid w:val="0029794F"/>
    <w:rsid w:val="002979C7"/>
    <w:rsid w:val="002A0472"/>
    <w:rsid w:val="002A1179"/>
    <w:rsid w:val="002A1CC0"/>
    <w:rsid w:val="002A259C"/>
    <w:rsid w:val="002A26F6"/>
    <w:rsid w:val="002A4272"/>
    <w:rsid w:val="002A52C7"/>
    <w:rsid w:val="002A58F3"/>
    <w:rsid w:val="002B1146"/>
    <w:rsid w:val="002B499D"/>
    <w:rsid w:val="002B64EF"/>
    <w:rsid w:val="002C07AB"/>
    <w:rsid w:val="002C2FA6"/>
    <w:rsid w:val="002C47B9"/>
    <w:rsid w:val="002C4B9D"/>
    <w:rsid w:val="002C6D06"/>
    <w:rsid w:val="002D1030"/>
    <w:rsid w:val="002D3295"/>
    <w:rsid w:val="002D4306"/>
    <w:rsid w:val="002D5C53"/>
    <w:rsid w:val="002E28AC"/>
    <w:rsid w:val="002E5054"/>
    <w:rsid w:val="002E6038"/>
    <w:rsid w:val="002F294A"/>
    <w:rsid w:val="002F3745"/>
    <w:rsid w:val="002F4095"/>
    <w:rsid w:val="002F65D9"/>
    <w:rsid w:val="002F6E14"/>
    <w:rsid w:val="003025F4"/>
    <w:rsid w:val="00313194"/>
    <w:rsid w:val="003146A1"/>
    <w:rsid w:val="00316D29"/>
    <w:rsid w:val="0032161B"/>
    <w:rsid w:val="003227FB"/>
    <w:rsid w:val="0032288D"/>
    <w:rsid w:val="00323943"/>
    <w:rsid w:val="00323B9D"/>
    <w:rsid w:val="00333BD8"/>
    <w:rsid w:val="00341693"/>
    <w:rsid w:val="0034236F"/>
    <w:rsid w:val="003427F4"/>
    <w:rsid w:val="00353495"/>
    <w:rsid w:val="00357F23"/>
    <w:rsid w:val="00364566"/>
    <w:rsid w:val="00366FA0"/>
    <w:rsid w:val="003708A2"/>
    <w:rsid w:val="003719FC"/>
    <w:rsid w:val="00371E7D"/>
    <w:rsid w:val="00376894"/>
    <w:rsid w:val="00380C83"/>
    <w:rsid w:val="00385E78"/>
    <w:rsid w:val="00386C9F"/>
    <w:rsid w:val="003873E5"/>
    <w:rsid w:val="003940FB"/>
    <w:rsid w:val="0039598A"/>
    <w:rsid w:val="00395E20"/>
    <w:rsid w:val="003A015B"/>
    <w:rsid w:val="003A124C"/>
    <w:rsid w:val="003A2364"/>
    <w:rsid w:val="003A2C9A"/>
    <w:rsid w:val="003A3EF4"/>
    <w:rsid w:val="003A536A"/>
    <w:rsid w:val="003B08F0"/>
    <w:rsid w:val="003B15C7"/>
    <w:rsid w:val="003B1AAA"/>
    <w:rsid w:val="003B2BE9"/>
    <w:rsid w:val="003B435F"/>
    <w:rsid w:val="003C1DE0"/>
    <w:rsid w:val="003C468F"/>
    <w:rsid w:val="003C4826"/>
    <w:rsid w:val="003C48BF"/>
    <w:rsid w:val="003C5BF2"/>
    <w:rsid w:val="003C5D6B"/>
    <w:rsid w:val="003C6863"/>
    <w:rsid w:val="003C7249"/>
    <w:rsid w:val="003D0806"/>
    <w:rsid w:val="003D0E3D"/>
    <w:rsid w:val="003D2754"/>
    <w:rsid w:val="003D4D9E"/>
    <w:rsid w:val="003D5724"/>
    <w:rsid w:val="003D6CEB"/>
    <w:rsid w:val="003E67F9"/>
    <w:rsid w:val="003E7A2F"/>
    <w:rsid w:val="003F04B2"/>
    <w:rsid w:val="003F2581"/>
    <w:rsid w:val="003F67F2"/>
    <w:rsid w:val="00400F24"/>
    <w:rsid w:val="00403372"/>
    <w:rsid w:val="00406640"/>
    <w:rsid w:val="00406846"/>
    <w:rsid w:val="00406A22"/>
    <w:rsid w:val="0041025D"/>
    <w:rsid w:val="0041419B"/>
    <w:rsid w:val="004151A4"/>
    <w:rsid w:val="00420925"/>
    <w:rsid w:val="00427991"/>
    <w:rsid w:val="0043069A"/>
    <w:rsid w:val="0043101D"/>
    <w:rsid w:val="00435887"/>
    <w:rsid w:val="00437BF8"/>
    <w:rsid w:val="00437D1A"/>
    <w:rsid w:val="004400E0"/>
    <w:rsid w:val="00444662"/>
    <w:rsid w:val="0044524C"/>
    <w:rsid w:val="0045214E"/>
    <w:rsid w:val="004546A1"/>
    <w:rsid w:val="00455125"/>
    <w:rsid w:val="00457ED3"/>
    <w:rsid w:val="00462FE8"/>
    <w:rsid w:val="00464FB5"/>
    <w:rsid w:val="00471709"/>
    <w:rsid w:val="00472A40"/>
    <w:rsid w:val="0047319F"/>
    <w:rsid w:val="004745E1"/>
    <w:rsid w:val="00481005"/>
    <w:rsid w:val="00485297"/>
    <w:rsid w:val="0048622F"/>
    <w:rsid w:val="00493440"/>
    <w:rsid w:val="004A2713"/>
    <w:rsid w:val="004A3D76"/>
    <w:rsid w:val="004A4900"/>
    <w:rsid w:val="004A7A28"/>
    <w:rsid w:val="004B0024"/>
    <w:rsid w:val="004B01E0"/>
    <w:rsid w:val="004B2C35"/>
    <w:rsid w:val="004B4988"/>
    <w:rsid w:val="004B5F50"/>
    <w:rsid w:val="004B687D"/>
    <w:rsid w:val="004C1E23"/>
    <w:rsid w:val="004C33A1"/>
    <w:rsid w:val="004C3BE7"/>
    <w:rsid w:val="004C5E6D"/>
    <w:rsid w:val="004C6BA2"/>
    <w:rsid w:val="004C6FD2"/>
    <w:rsid w:val="004D15D2"/>
    <w:rsid w:val="004D1F99"/>
    <w:rsid w:val="004D330D"/>
    <w:rsid w:val="004D3AFA"/>
    <w:rsid w:val="004D424A"/>
    <w:rsid w:val="004D5EE5"/>
    <w:rsid w:val="004E5FB2"/>
    <w:rsid w:val="004E7502"/>
    <w:rsid w:val="004F0AAF"/>
    <w:rsid w:val="004F21C1"/>
    <w:rsid w:val="004F6606"/>
    <w:rsid w:val="004F6D74"/>
    <w:rsid w:val="004F6E6D"/>
    <w:rsid w:val="004F77A1"/>
    <w:rsid w:val="004F7E03"/>
    <w:rsid w:val="0050140D"/>
    <w:rsid w:val="00507A53"/>
    <w:rsid w:val="00513504"/>
    <w:rsid w:val="00514F62"/>
    <w:rsid w:val="005173F9"/>
    <w:rsid w:val="005202EC"/>
    <w:rsid w:val="00522968"/>
    <w:rsid w:val="00523DBB"/>
    <w:rsid w:val="005244E6"/>
    <w:rsid w:val="005259C6"/>
    <w:rsid w:val="00530DDB"/>
    <w:rsid w:val="005348CA"/>
    <w:rsid w:val="00535797"/>
    <w:rsid w:val="00540C1C"/>
    <w:rsid w:val="005421CB"/>
    <w:rsid w:val="00542241"/>
    <w:rsid w:val="00543440"/>
    <w:rsid w:val="00546822"/>
    <w:rsid w:val="00550238"/>
    <w:rsid w:val="0055329D"/>
    <w:rsid w:val="005533F2"/>
    <w:rsid w:val="00554811"/>
    <w:rsid w:val="00555A90"/>
    <w:rsid w:val="00556369"/>
    <w:rsid w:val="00557BD4"/>
    <w:rsid w:val="00562693"/>
    <w:rsid w:val="005648D8"/>
    <w:rsid w:val="0057092C"/>
    <w:rsid w:val="00570E0C"/>
    <w:rsid w:val="00571BAF"/>
    <w:rsid w:val="00572B5F"/>
    <w:rsid w:val="00572CA6"/>
    <w:rsid w:val="0057488F"/>
    <w:rsid w:val="0058194D"/>
    <w:rsid w:val="00584476"/>
    <w:rsid w:val="0058700B"/>
    <w:rsid w:val="005923CC"/>
    <w:rsid w:val="00596C6D"/>
    <w:rsid w:val="005A1A3F"/>
    <w:rsid w:val="005A2E35"/>
    <w:rsid w:val="005A4E6A"/>
    <w:rsid w:val="005A5649"/>
    <w:rsid w:val="005A59FE"/>
    <w:rsid w:val="005A640F"/>
    <w:rsid w:val="005A7A08"/>
    <w:rsid w:val="005A7AF3"/>
    <w:rsid w:val="005B1A78"/>
    <w:rsid w:val="005B2584"/>
    <w:rsid w:val="005B355D"/>
    <w:rsid w:val="005B4A84"/>
    <w:rsid w:val="005B7E62"/>
    <w:rsid w:val="005C1CCD"/>
    <w:rsid w:val="005C38F9"/>
    <w:rsid w:val="005C56E2"/>
    <w:rsid w:val="005C7470"/>
    <w:rsid w:val="005C7A08"/>
    <w:rsid w:val="005D0100"/>
    <w:rsid w:val="005D1BAC"/>
    <w:rsid w:val="005D3A2B"/>
    <w:rsid w:val="005D3BC8"/>
    <w:rsid w:val="005D4131"/>
    <w:rsid w:val="005D4474"/>
    <w:rsid w:val="005D4D0C"/>
    <w:rsid w:val="005D5042"/>
    <w:rsid w:val="005E7D47"/>
    <w:rsid w:val="005F0650"/>
    <w:rsid w:val="005F1624"/>
    <w:rsid w:val="005F2972"/>
    <w:rsid w:val="005F37E2"/>
    <w:rsid w:val="005F56D1"/>
    <w:rsid w:val="005F61F1"/>
    <w:rsid w:val="005F6446"/>
    <w:rsid w:val="005F6884"/>
    <w:rsid w:val="005F6A04"/>
    <w:rsid w:val="00600E29"/>
    <w:rsid w:val="00601D5A"/>
    <w:rsid w:val="00603817"/>
    <w:rsid w:val="00603FFC"/>
    <w:rsid w:val="00612FE3"/>
    <w:rsid w:val="00613208"/>
    <w:rsid w:val="00617003"/>
    <w:rsid w:val="006202D9"/>
    <w:rsid w:val="006230A5"/>
    <w:rsid w:val="0062585C"/>
    <w:rsid w:val="00626C99"/>
    <w:rsid w:val="006301D3"/>
    <w:rsid w:val="00630C79"/>
    <w:rsid w:val="0063163B"/>
    <w:rsid w:val="0063180B"/>
    <w:rsid w:val="00631FC9"/>
    <w:rsid w:val="0063347F"/>
    <w:rsid w:val="006340FE"/>
    <w:rsid w:val="006401C6"/>
    <w:rsid w:val="00651BF7"/>
    <w:rsid w:val="0065303F"/>
    <w:rsid w:val="006538D6"/>
    <w:rsid w:val="0065520F"/>
    <w:rsid w:val="006602B4"/>
    <w:rsid w:val="006609FA"/>
    <w:rsid w:val="00661168"/>
    <w:rsid w:val="00661B0A"/>
    <w:rsid w:val="00662495"/>
    <w:rsid w:val="006626EF"/>
    <w:rsid w:val="006631C7"/>
    <w:rsid w:val="00663A05"/>
    <w:rsid w:val="006703AA"/>
    <w:rsid w:val="00674C62"/>
    <w:rsid w:val="006752FA"/>
    <w:rsid w:val="0067753F"/>
    <w:rsid w:val="0068355E"/>
    <w:rsid w:val="00683E95"/>
    <w:rsid w:val="006853AC"/>
    <w:rsid w:val="00695027"/>
    <w:rsid w:val="006956D3"/>
    <w:rsid w:val="006956E1"/>
    <w:rsid w:val="0069701C"/>
    <w:rsid w:val="006A422D"/>
    <w:rsid w:val="006A5E08"/>
    <w:rsid w:val="006A619E"/>
    <w:rsid w:val="006A6E97"/>
    <w:rsid w:val="006B1C7C"/>
    <w:rsid w:val="006B7376"/>
    <w:rsid w:val="006C2849"/>
    <w:rsid w:val="006C3AF9"/>
    <w:rsid w:val="006C513B"/>
    <w:rsid w:val="006C5985"/>
    <w:rsid w:val="006C7690"/>
    <w:rsid w:val="006D1155"/>
    <w:rsid w:val="006D1D9F"/>
    <w:rsid w:val="006D41A9"/>
    <w:rsid w:val="006D4224"/>
    <w:rsid w:val="006D5048"/>
    <w:rsid w:val="006E0707"/>
    <w:rsid w:val="006E0C0D"/>
    <w:rsid w:val="006E1113"/>
    <w:rsid w:val="006E5107"/>
    <w:rsid w:val="006E7B9B"/>
    <w:rsid w:val="006F2AF6"/>
    <w:rsid w:val="006F3ABC"/>
    <w:rsid w:val="006F69AD"/>
    <w:rsid w:val="007021AD"/>
    <w:rsid w:val="007024D7"/>
    <w:rsid w:val="0070410D"/>
    <w:rsid w:val="00706C5E"/>
    <w:rsid w:val="0070709E"/>
    <w:rsid w:val="007113C3"/>
    <w:rsid w:val="00713A6E"/>
    <w:rsid w:val="00713DB4"/>
    <w:rsid w:val="0071474D"/>
    <w:rsid w:val="0071682B"/>
    <w:rsid w:val="00720A26"/>
    <w:rsid w:val="00721230"/>
    <w:rsid w:val="00722112"/>
    <w:rsid w:val="007229DC"/>
    <w:rsid w:val="00724398"/>
    <w:rsid w:val="00727641"/>
    <w:rsid w:val="007311B3"/>
    <w:rsid w:val="00734251"/>
    <w:rsid w:val="00740335"/>
    <w:rsid w:val="00741618"/>
    <w:rsid w:val="00741D92"/>
    <w:rsid w:val="007426E5"/>
    <w:rsid w:val="00744A24"/>
    <w:rsid w:val="00746AED"/>
    <w:rsid w:val="007574AD"/>
    <w:rsid w:val="00760458"/>
    <w:rsid w:val="007619D0"/>
    <w:rsid w:val="007637B5"/>
    <w:rsid w:val="0077177A"/>
    <w:rsid w:val="00772061"/>
    <w:rsid w:val="0078088F"/>
    <w:rsid w:val="00780DC9"/>
    <w:rsid w:val="00781B62"/>
    <w:rsid w:val="0078501B"/>
    <w:rsid w:val="00785FFA"/>
    <w:rsid w:val="00787548"/>
    <w:rsid w:val="00787633"/>
    <w:rsid w:val="00790713"/>
    <w:rsid w:val="00790A8E"/>
    <w:rsid w:val="007910D5"/>
    <w:rsid w:val="00796505"/>
    <w:rsid w:val="00797D4D"/>
    <w:rsid w:val="007A08BA"/>
    <w:rsid w:val="007A2F3F"/>
    <w:rsid w:val="007A4E98"/>
    <w:rsid w:val="007A4F9D"/>
    <w:rsid w:val="007A7315"/>
    <w:rsid w:val="007A7B7F"/>
    <w:rsid w:val="007B27EA"/>
    <w:rsid w:val="007B78D1"/>
    <w:rsid w:val="007C072B"/>
    <w:rsid w:val="007C505E"/>
    <w:rsid w:val="007C543C"/>
    <w:rsid w:val="007C75E3"/>
    <w:rsid w:val="007C7EEB"/>
    <w:rsid w:val="007D084C"/>
    <w:rsid w:val="007D562A"/>
    <w:rsid w:val="007D5DB1"/>
    <w:rsid w:val="007D6178"/>
    <w:rsid w:val="007D7153"/>
    <w:rsid w:val="007D7BBB"/>
    <w:rsid w:val="007E00A6"/>
    <w:rsid w:val="007E05B7"/>
    <w:rsid w:val="007E0CE1"/>
    <w:rsid w:val="007E2AE0"/>
    <w:rsid w:val="007E70B1"/>
    <w:rsid w:val="007F04C6"/>
    <w:rsid w:val="007F328A"/>
    <w:rsid w:val="007F5147"/>
    <w:rsid w:val="007F5A63"/>
    <w:rsid w:val="007F76B5"/>
    <w:rsid w:val="00801355"/>
    <w:rsid w:val="00801E14"/>
    <w:rsid w:val="00806F05"/>
    <w:rsid w:val="008074B9"/>
    <w:rsid w:val="00807C99"/>
    <w:rsid w:val="0081050F"/>
    <w:rsid w:val="00811E87"/>
    <w:rsid w:val="00812261"/>
    <w:rsid w:val="00813605"/>
    <w:rsid w:val="0081751C"/>
    <w:rsid w:val="0082035A"/>
    <w:rsid w:val="00822251"/>
    <w:rsid w:val="008223CB"/>
    <w:rsid w:val="0082464E"/>
    <w:rsid w:val="0082701B"/>
    <w:rsid w:val="00827A1A"/>
    <w:rsid w:val="00827B27"/>
    <w:rsid w:val="008328E7"/>
    <w:rsid w:val="00833903"/>
    <w:rsid w:val="00833ECD"/>
    <w:rsid w:val="00835A21"/>
    <w:rsid w:val="00841F75"/>
    <w:rsid w:val="00842C05"/>
    <w:rsid w:val="00842DDE"/>
    <w:rsid w:val="00845FC7"/>
    <w:rsid w:val="008460D6"/>
    <w:rsid w:val="00847557"/>
    <w:rsid w:val="00850000"/>
    <w:rsid w:val="00852E45"/>
    <w:rsid w:val="008564B9"/>
    <w:rsid w:val="00857CEC"/>
    <w:rsid w:val="00857EDF"/>
    <w:rsid w:val="008610A5"/>
    <w:rsid w:val="00866382"/>
    <w:rsid w:val="00866715"/>
    <w:rsid w:val="00872547"/>
    <w:rsid w:val="00872788"/>
    <w:rsid w:val="00876D67"/>
    <w:rsid w:val="0088171C"/>
    <w:rsid w:val="00881F68"/>
    <w:rsid w:val="008820C6"/>
    <w:rsid w:val="0088239D"/>
    <w:rsid w:val="00882446"/>
    <w:rsid w:val="00883F74"/>
    <w:rsid w:val="00885BB8"/>
    <w:rsid w:val="0088780A"/>
    <w:rsid w:val="008879BA"/>
    <w:rsid w:val="00891EF3"/>
    <w:rsid w:val="00894454"/>
    <w:rsid w:val="00894C6B"/>
    <w:rsid w:val="0089552D"/>
    <w:rsid w:val="0089554B"/>
    <w:rsid w:val="008A128A"/>
    <w:rsid w:val="008A4180"/>
    <w:rsid w:val="008A4731"/>
    <w:rsid w:val="008A6122"/>
    <w:rsid w:val="008B25CB"/>
    <w:rsid w:val="008B439B"/>
    <w:rsid w:val="008B4817"/>
    <w:rsid w:val="008B573E"/>
    <w:rsid w:val="008B7A50"/>
    <w:rsid w:val="008C062D"/>
    <w:rsid w:val="008C2D7D"/>
    <w:rsid w:val="008C2DE3"/>
    <w:rsid w:val="008C4F90"/>
    <w:rsid w:val="008C6C87"/>
    <w:rsid w:val="008C747B"/>
    <w:rsid w:val="008D18C7"/>
    <w:rsid w:val="008D2397"/>
    <w:rsid w:val="008D2622"/>
    <w:rsid w:val="008D3088"/>
    <w:rsid w:val="008D3B1E"/>
    <w:rsid w:val="008D4E08"/>
    <w:rsid w:val="008E32B1"/>
    <w:rsid w:val="008E4FF3"/>
    <w:rsid w:val="008E510E"/>
    <w:rsid w:val="008E7203"/>
    <w:rsid w:val="008F443B"/>
    <w:rsid w:val="008F4C41"/>
    <w:rsid w:val="008F558F"/>
    <w:rsid w:val="008F6AE4"/>
    <w:rsid w:val="0090038F"/>
    <w:rsid w:val="009024D0"/>
    <w:rsid w:val="009033AB"/>
    <w:rsid w:val="00905987"/>
    <w:rsid w:val="009067EE"/>
    <w:rsid w:val="00910099"/>
    <w:rsid w:val="00910BA7"/>
    <w:rsid w:val="00915E18"/>
    <w:rsid w:val="00916712"/>
    <w:rsid w:val="0092142B"/>
    <w:rsid w:val="00921A12"/>
    <w:rsid w:val="0092581C"/>
    <w:rsid w:val="009318F9"/>
    <w:rsid w:val="009319CE"/>
    <w:rsid w:val="00945AA3"/>
    <w:rsid w:val="00952657"/>
    <w:rsid w:val="00954369"/>
    <w:rsid w:val="00955A89"/>
    <w:rsid w:val="009600AF"/>
    <w:rsid w:val="00961D0E"/>
    <w:rsid w:val="00962184"/>
    <w:rsid w:val="009621E3"/>
    <w:rsid w:val="00964D25"/>
    <w:rsid w:val="00965D45"/>
    <w:rsid w:val="00970592"/>
    <w:rsid w:val="00971357"/>
    <w:rsid w:val="00972A56"/>
    <w:rsid w:val="009737DF"/>
    <w:rsid w:val="0098107F"/>
    <w:rsid w:val="009814DA"/>
    <w:rsid w:val="009817EF"/>
    <w:rsid w:val="00982DC3"/>
    <w:rsid w:val="009905E7"/>
    <w:rsid w:val="0099145D"/>
    <w:rsid w:val="0099154B"/>
    <w:rsid w:val="009918B7"/>
    <w:rsid w:val="00992404"/>
    <w:rsid w:val="0099435D"/>
    <w:rsid w:val="00997391"/>
    <w:rsid w:val="009A1527"/>
    <w:rsid w:val="009A187C"/>
    <w:rsid w:val="009A4010"/>
    <w:rsid w:val="009A4AC9"/>
    <w:rsid w:val="009B2A6F"/>
    <w:rsid w:val="009C099A"/>
    <w:rsid w:val="009C1CF1"/>
    <w:rsid w:val="009C7A34"/>
    <w:rsid w:val="009C7EA5"/>
    <w:rsid w:val="009D251E"/>
    <w:rsid w:val="009D516C"/>
    <w:rsid w:val="009D5AF4"/>
    <w:rsid w:val="009D5BAA"/>
    <w:rsid w:val="009D762A"/>
    <w:rsid w:val="009E1C75"/>
    <w:rsid w:val="009E2232"/>
    <w:rsid w:val="009E3049"/>
    <w:rsid w:val="009E59C8"/>
    <w:rsid w:val="009E626B"/>
    <w:rsid w:val="009E62A9"/>
    <w:rsid w:val="009F54DB"/>
    <w:rsid w:val="009F5A53"/>
    <w:rsid w:val="009F6C5A"/>
    <w:rsid w:val="00A00456"/>
    <w:rsid w:val="00A02FFB"/>
    <w:rsid w:val="00A0598E"/>
    <w:rsid w:val="00A07559"/>
    <w:rsid w:val="00A078E4"/>
    <w:rsid w:val="00A10B92"/>
    <w:rsid w:val="00A11967"/>
    <w:rsid w:val="00A15004"/>
    <w:rsid w:val="00A20AEC"/>
    <w:rsid w:val="00A239FF"/>
    <w:rsid w:val="00A305B2"/>
    <w:rsid w:val="00A3099B"/>
    <w:rsid w:val="00A31A04"/>
    <w:rsid w:val="00A3298F"/>
    <w:rsid w:val="00A33BE7"/>
    <w:rsid w:val="00A34788"/>
    <w:rsid w:val="00A35DDA"/>
    <w:rsid w:val="00A52228"/>
    <w:rsid w:val="00A524CB"/>
    <w:rsid w:val="00A530B2"/>
    <w:rsid w:val="00A53521"/>
    <w:rsid w:val="00A54D1D"/>
    <w:rsid w:val="00A56084"/>
    <w:rsid w:val="00A56E41"/>
    <w:rsid w:val="00A6125E"/>
    <w:rsid w:val="00A616A9"/>
    <w:rsid w:val="00A625D9"/>
    <w:rsid w:val="00A62A9D"/>
    <w:rsid w:val="00A6352F"/>
    <w:rsid w:val="00A70085"/>
    <w:rsid w:val="00A73B26"/>
    <w:rsid w:val="00A7681F"/>
    <w:rsid w:val="00A80653"/>
    <w:rsid w:val="00A832E8"/>
    <w:rsid w:val="00A83ABB"/>
    <w:rsid w:val="00A84137"/>
    <w:rsid w:val="00A84978"/>
    <w:rsid w:val="00A85D64"/>
    <w:rsid w:val="00A90CB1"/>
    <w:rsid w:val="00A9193E"/>
    <w:rsid w:val="00A9220B"/>
    <w:rsid w:val="00A950FB"/>
    <w:rsid w:val="00A97B62"/>
    <w:rsid w:val="00AA302C"/>
    <w:rsid w:val="00AA3911"/>
    <w:rsid w:val="00AA5767"/>
    <w:rsid w:val="00AA58F2"/>
    <w:rsid w:val="00AA62B1"/>
    <w:rsid w:val="00AB1643"/>
    <w:rsid w:val="00AB4289"/>
    <w:rsid w:val="00AB437F"/>
    <w:rsid w:val="00AB4635"/>
    <w:rsid w:val="00AB5DA9"/>
    <w:rsid w:val="00AB71A6"/>
    <w:rsid w:val="00AC2210"/>
    <w:rsid w:val="00AC2BC7"/>
    <w:rsid w:val="00AC32C5"/>
    <w:rsid w:val="00AD018F"/>
    <w:rsid w:val="00AD0C52"/>
    <w:rsid w:val="00AD1496"/>
    <w:rsid w:val="00AD401E"/>
    <w:rsid w:val="00AD57B7"/>
    <w:rsid w:val="00AE6708"/>
    <w:rsid w:val="00AE7C1A"/>
    <w:rsid w:val="00AF0A04"/>
    <w:rsid w:val="00AF3846"/>
    <w:rsid w:val="00AF55E0"/>
    <w:rsid w:val="00B05747"/>
    <w:rsid w:val="00B07894"/>
    <w:rsid w:val="00B11041"/>
    <w:rsid w:val="00B113C3"/>
    <w:rsid w:val="00B11CD3"/>
    <w:rsid w:val="00B12FA2"/>
    <w:rsid w:val="00B132C2"/>
    <w:rsid w:val="00B13525"/>
    <w:rsid w:val="00B13C70"/>
    <w:rsid w:val="00B14A8A"/>
    <w:rsid w:val="00B14FD4"/>
    <w:rsid w:val="00B163DE"/>
    <w:rsid w:val="00B17D14"/>
    <w:rsid w:val="00B17FF1"/>
    <w:rsid w:val="00B21396"/>
    <w:rsid w:val="00B216C7"/>
    <w:rsid w:val="00B221C3"/>
    <w:rsid w:val="00B22497"/>
    <w:rsid w:val="00B23328"/>
    <w:rsid w:val="00B26874"/>
    <w:rsid w:val="00B30224"/>
    <w:rsid w:val="00B3158A"/>
    <w:rsid w:val="00B32B23"/>
    <w:rsid w:val="00B3460B"/>
    <w:rsid w:val="00B358A3"/>
    <w:rsid w:val="00B36684"/>
    <w:rsid w:val="00B4367C"/>
    <w:rsid w:val="00B50E5A"/>
    <w:rsid w:val="00B610BC"/>
    <w:rsid w:val="00B64B48"/>
    <w:rsid w:val="00B709AC"/>
    <w:rsid w:val="00B70FA3"/>
    <w:rsid w:val="00B70FF2"/>
    <w:rsid w:val="00B7110F"/>
    <w:rsid w:val="00B72F8D"/>
    <w:rsid w:val="00B73717"/>
    <w:rsid w:val="00B807A8"/>
    <w:rsid w:val="00B8204D"/>
    <w:rsid w:val="00B82D79"/>
    <w:rsid w:val="00B84FBF"/>
    <w:rsid w:val="00B91432"/>
    <w:rsid w:val="00B92B01"/>
    <w:rsid w:val="00B930FA"/>
    <w:rsid w:val="00B93523"/>
    <w:rsid w:val="00BA1B4A"/>
    <w:rsid w:val="00BA1CA9"/>
    <w:rsid w:val="00BA1D62"/>
    <w:rsid w:val="00BA222E"/>
    <w:rsid w:val="00BA2DE8"/>
    <w:rsid w:val="00BA683A"/>
    <w:rsid w:val="00BA6ADA"/>
    <w:rsid w:val="00BB1C6F"/>
    <w:rsid w:val="00BB2D85"/>
    <w:rsid w:val="00BB3846"/>
    <w:rsid w:val="00BB39AB"/>
    <w:rsid w:val="00BB4B0F"/>
    <w:rsid w:val="00BB69F2"/>
    <w:rsid w:val="00BC266B"/>
    <w:rsid w:val="00BC395B"/>
    <w:rsid w:val="00BC3E47"/>
    <w:rsid w:val="00BC3E96"/>
    <w:rsid w:val="00BC468F"/>
    <w:rsid w:val="00BD0794"/>
    <w:rsid w:val="00BD1E6B"/>
    <w:rsid w:val="00BD3B1A"/>
    <w:rsid w:val="00BE1313"/>
    <w:rsid w:val="00BE1A74"/>
    <w:rsid w:val="00BE37DB"/>
    <w:rsid w:val="00BE6A70"/>
    <w:rsid w:val="00BE7782"/>
    <w:rsid w:val="00BF01F8"/>
    <w:rsid w:val="00BF4424"/>
    <w:rsid w:val="00BF6832"/>
    <w:rsid w:val="00BF683C"/>
    <w:rsid w:val="00BF6A99"/>
    <w:rsid w:val="00BF772D"/>
    <w:rsid w:val="00C04D04"/>
    <w:rsid w:val="00C05942"/>
    <w:rsid w:val="00C065D0"/>
    <w:rsid w:val="00C06787"/>
    <w:rsid w:val="00C1093D"/>
    <w:rsid w:val="00C20888"/>
    <w:rsid w:val="00C2169D"/>
    <w:rsid w:val="00C23C98"/>
    <w:rsid w:val="00C2447F"/>
    <w:rsid w:val="00C24ADC"/>
    <w:rsid w:val="00C25863"/>
    <w:rsid w:val="00C30E61"/>
    <w:rsid w:val="00C339E6"/>
    <w:rsid w:val="00C3520A"/>
    <w:rsid w:val="00C3628C"/>
    <w:rsid w:val="00C42A41"/>
    <w:rsid w:val="00C42F71"/>
    <w:rsid w:val="00C439A3"/>
    <w:rsid w:val="00C46000"/>
    <w:rsid w:val="00C46232"/>
    <w:rsid w:val="00C47526"/>
    <w:rsid w:val="00C500B1"/>
    <w:rsid w:val="00C52A01"/>
    <w:rsid w:val="00C56E0F"/>
    <w:rsid w:val="00C57197"/>
    <w:rsid w:val="00C57D72"/>
    <w:rsid w:val="00C654D5"/>
    <w:rsid w:val="00C659C6"/>
    <w:rsid w:val="00C65D21"/>
    <w:rsid w:val="00C66087"/>
    <w:rsid w:val="00C67767"/>
    <w:rsid w:val="00C67A2B"/>
    <w:rsid w:val="00C71FA3"/>
    <w:rsid w:val="00C74B96"/>
    <w:rsid w:val="00C76884"/>
    <w:rsid w:val="00C80000"/>
    <w:rsid w:val="00C84976"/>
    <w:rsid w:val="00C92236"/>
    <w:rsid w:val="00C9380E"/>
    <w:rsid w:val="00C95975"/>
    <w:rsid w:val="00C9732A"/>
    <w:rsid w:val="00C97957"/>
    <w:rsid w:val="00CA48AD"/>
    <w:rsid w:val="00CA4E3E"/>
    <w:rsid w:val="00CA6418"/>
    <w:rsid w:val="00CA6B44"/>
    <w:rsid w:val="00CA7E25"/>
    <w:rsid w:val="00CB005E"/>
    <w:rsid w:val="00CB0DB5"/>
    <w:rsid w:val="00CB2188"/>
    <w:rsid w:val="00CB2310"/>
    <w:rsid w:val="00CB2D4E"/>
    <w:rsid w:val="00CB6852"/>
    <w:rsid w:val="00CC03AF"/>
    <w:rsid w:val="00CC0DDD"/>
    <w:rsid w:val="00CC1409"/>
    <w:rsid w:val="00CC29B5"/>
    <w:rsid w:val="00CC46A1"/>
    <w:rsid w:val="00CC57CC"/>
    <w:rsid w:val="00CC5FB8"/>
    <w:rsid w:val="00CC63BC"/>
    <w:rsid w:val="00CC6BE9"/>
    <w:rsid w:val="00CD11EE"/>
    <w:rsid w:val="00CD74FE"/>
    <w:rsid w:val="00CD79BE"/>
    <w:rsid w:val="00CD7D75"/>
    <w:rsid w:val="00CE0895"/>
    <w:rsid w:val="00CE095D"/>
    <w:rsid w:val="00CE443F"/>
    <w:rsid w:val="00CE7BAD"/>
    <w:rsid w:val="00CF0ECF"/>
    <w:rsid w:val="00CF48DB"/>
    <w:rsid w:val="00CF6DD8"/>
    <w:rsid w:val="00CF6FC1"/>
    <w:rsid w:val="00D05A7E"/>
    <w:rsid w:val="00D16079"/>
    <w:rsid w:val="00D22366"/>
    <w:rsid w:val="00D22A94"/>
    <w:rsid w:val="00D22E50"/>
    <w:rsid w:val="00D23BF3"/>
    <w:rsid w:val="00D2584A"/>
    <w:rsid w:val="00D26C7A"/>
    <w:rsid w:val="00D26D01"/>
    <w:rsid w:val="00D27D57"/>
    <w:rsid w:val="00D30D52"/>
    <w:rsid w:val="00D315FE"/>
    <w:rsid w:val="00D32862"/>
    <w:rsid w:val="00D32C65"/>
    <w:rsid w:val="00D33822"/>
    <w:rsid w:val="00D34A05"/>
    <w:rsid w:val="00D361FA"/>
    <w:rsid w:val="00D41D97"/>
    <w:rsid w:val="00D4329A"/>
    <w:rsid w:val="00D43EC3"/>
    <w:rsid w:val="00D45EBC"/>
    <w:rsid w:val="00D52D48"/>
    <w:rsid w:val="00D555B4"/>
    <w:rsid w:val="00D613E3"/>
    <w:rsid w:val="00D63DB3"/>
    <w:rsid w:val="00D66211"/>
    <w:rsid w:val="00D7376A"/>
    <w:rsid w:val="00D77147"/>
    <w:rsid w:val="00D81EA6"/>
    <w:rsid w:val="00D82E62"/>
    <w:rsid w:val="00D845DE"/>
    <w:rsid w:val="00D85044"/>
    <w:rsid w:val="00D864A5"/>
    <w:rsid w:val="00D876D1"/>
    <w:rsid w:val="00D9111C"/>
    <w:rsid w:val="00D91FF9"/>
    <w:rsid w:val="00D93674"/>
    <w:rsid w:val="00D96958"/>
    <w:rsid w:val="00D96963"/>
    <w:rsid w:val="00DA28ED"/>
    <w:rsid w:val="00DA3703"/>
    <w:rsid w:val="00DA6E02"/>
    <w:rsid w:val="00DB284E"/>
    <w:rsid w:val="00DB2F83"/>
    <w:rsid w:val="00DB4227"/>
    <w:rsid w:val="00DB4BA4"/>
    <w:rsid w:val="00DC117D"/>
    <w:rsid w:val="00DC244A"/>
    <w:rsid w:val="00DC28E6"/>
    <w:rsid w:val="00DC348B"/>
    <w:rsid w:val="00DD1189"/>
    <w:rsid w:val="00DD1CC5"/>
    <w:rsid w:val="00DD6046"/>
    <w:rsid w:val="00DD6B7B"/>
    <w:rsid w:val="00DE16C6"/>
    <w:rsid w:val="00DE558B"/>
    <w:rsid w:val="00DE770D"/>
    <w:rsid w:val="00DF2BE6"/>
    <w:rsid w:val="00DF4E42"/>
    <w:rsid w:val="00E00475"/>
    <w:rsid w:val="00E03A2C"/>
    <w:rsid w:val="00E04C5E"/>
    <w:rsid w:val="00E06D42"/>
    <w:rsid w:val="00E107A7"/>
    <w:rsid w:val="00E1134B"/>
    <w:rsid w:val="00E1444B"/>
    <w:rsid w:val="00E15AF8"/>
    <w:rsid w:val="00E17097"/>
    <w:rsid w:val="00E17730"/>
    <w:rsid w:val="00E20D5F"/>
    <w:rsid w:val="00E2130A"/>
    <w:rsid w:val="00E21796"/>
    <w:rsid w:val="00E2197C"/>
    <w:rsid w:val="00E22772"/>
    <w:rsid w:val="00E3431B"/>
    <w:rsid w:val="00E34797"/>
    <w:rsid w:val="00E367D5"/>
    <w:rsid w:val="00E37677"/>
    <w:rsid w:val="00E4157E"/>
    <w:rsid w:val="00E432BA"/>
    <w:rsid w:val="00E43E42"/>
    <w:rsid w:val="00E4481D"/>
    <w:rsid w:val="00E44C09"/>
    <w:rsid w:val="00E45EA8"/>
    <w:rsid w:val="00E47173"/>
    <w:rsid w:val="00E609D6"/>
    <w:rsid w:val="00E62A40"/>
    <w:rsid w:val="00E63980"/>
    <w:rsid w:val="00E6460A"/>
    <w:rsid w:val="00E71920"/>
    <w:rsid w:val="00E7324D"/>
    <w:rsid w:val="00E7399A"/>
    <w:rsid w:val="00E75E33"/>
    <w:rsid w:val="00E81C05"/>
    <w:rsid w:val="00E83F3C"/>
    <w:rsid w:val="00E84DCB"/>
    <w:rsid w:val="00E8747E"/>
    <w:rsid w:val="00E929A8"/>
    <w:rsid w:val="00E954BE"/>
    <w:rsid w:val="00EA28F3"/>
    <w:rsid w:val="00EA32A9"/>
    <w:rsid w:val="00EA4B01"/>
    <w:rsid w:val="00EA4D5F"/>
    <w:rsid w:val="00EB22C8"/>
    <w:rsid w:val="00EB29DE"/>
    <w:rsid w:val="00EB38DE"/>
    <w:rsid w:val="00EC57AA"/>
    <w:rsid w:val="00EC6419"/>
    <w:rsid w:val="00EC6B40"/>
    <w:rsid w:val="00ED4F6A"/>
    <w:rsid w:val="00ED533D"/>
    <w:rsid w:val="00ED7B47"/>
    <w:rsid w:val="00EE0654"/>
    <w:rsid w:val="00EE168D"/>
    <w:rsid w:val="00EE1B10"/>
    <w:rsid w:val="00EE292B"/>
    <w:rsid w:val="00EE2D6A"/>
    <w:rsid w:val="00EE41C8"/>
    <w:rsid w:val="00EE41FC"/>
    <w:rsid w:val="00EE44B3"/>
    <w:rsid w:val="00EE5EA5"/>
    <w:rsid w:val="00EE737A"/>
    <w:rsid w:val="00EF1902"/>
    <w:rsid w:val="00EF4D2A"/>
    <w:rsid w:val="00EF7BDF"/>
    <w:rsid w:val="00F0136A"/>
    <w:rsid w:val="00F03143"/>
    <w:rsid w:val="00F055C2"/>
    <w:rsid w:val="00F104C6"/>
    <w:rsid w:val="00F1499E"/>
    <w:rsid w:val="00F15BC0"/>
    <w:rsid w:val="00F15EDD"/>
    <w:rsid w:val="00F1720C"/>
    <w:rsid w:val="00F203D8"/>
    <w:rsid w:val="00F23E3C"/>
    <w:rsid w:val="00F24063"/>
    <w:rsid w:val="00F25BA8"/>
    <w:rsid w:val="00F27910"/>
    <w:rsid w:val="00F33A34"/>
    <w:rsid w:val="00F34F2D"/>
    <w:rsid w:val="00F354D5"/>
    <w:rsid w:val="00F37340"/>
    <w:rsid w:val="00F4054A"/>
    <w:rsid w:val="00F41A75"/>
    <w:rsid w:val="00F432C6"/>
    <w:rsid w:val="00F43C30"/>
    <w:rsid w:val="00F44221"/>
    <w:rsid w:val="00F451AD"/>
    <w:rsid w:val="00F460F2"/>
    <w:rsid w:val="00F50433"/>
    <w:rsid w:val="00F50AFF"/>
    <w:rsid w:val="00F51311"/>
    <w:rsid w:val="00F519F0"/>
    <w:rsid w:val="00F52547"/>
    <w:rsid w:val="00F53C1E"/>
    <w:rsid w:val="00F606C2"/>
    <w:rsid w:val="00F66A54"/>
    <w:rsid w:val="00F66BD8"/>
    <w:rsid w:val="00F67C1D"/>
    <w:rsid w:val="00F700B4"/>
    <w:rsid w:val="00F707CB"/>
    <w:rsid w:val="00F71042"/>
    <w:rsid w:val="00F71324"/>
    <w:rsid w:val="00F73104"/>
    <w:rsid w:val="00F735BB"/>
    <w:rsid w:val="00F75DB8"/>
    <w:rsid w:val="00F77649"/>
    <w:rsid w:val="00F77685"/>
    <w:rsid w:val="00F80D8C"/>
    <w:rsid w:val="00F80D8F"/>
    <w:rsid w:val="00F81D11"/>
    <w:rsid w:val="00F859B7"/>
    <w:rsid w:val="00F85AF4"/>
    <w:rsid w:val="00F87291"/>
    <w:rsid w:val="00F90C75"/>
    <w:rsid w:val="00F91FF6"/>
    <w:rsid w:val="00FA26BE"/>
    <w:rsid w:val="00FA2C46"/>
    <w:rsid w:val="00FA4CEF"/>
    <w:rsid w:val="00FB0105"/>
    <w:rsid w:val="00FB14C2"/>
    <w:rsid w:val="00FB1889"/>
    <w:rsid w:val="00FB196C"/>
    <w:rsid w:val="00FB2882"/>
    <w:rsid w:val="00FB2DDE"/>
    <w:rsid w:val="00FB335F"/>
    <w:rsid w:val="00FB479F"/>
    <w:rsid w:val="00FB4BCF"/>
    <w:rsid w:val="00FB5E30"/>
    <w:rsid w:val="00FB7206"/>
    <w:rsid w:val="00FB7615"/>
    <w:rsid w:val="00FC0728"/>
    <w:rsid w:val="00FC1759"/>
    <w:rsid w:val="00FC1B81"/>
    <w:rsid w:val="00FC21B7"/>
    <w:rsid w:val="00FC3B56"/>
    <w:rsid w:val="00FC5FC1"/>
    <w:rsid w:val="00FD404B"/>
    <w:rsid w:val="00FD6214"/>
    <w:rsid w:val="00FE00F6"/>
    <w:rsid w:val="00FE029B"/>
    <w:rsid w:val="00FE0403"/>
    <w:rsid w:val="00FE1215"/>
    <w:rsid w:val="00FE1701"/>
    <w:rsid w:val="00FE446D"/>
    <w:rsid w:val="00FE4EFB"/>
    <w:rsid w:val="00FF0FDC"/>
    <w:rsid w:val="00FF1F0D"/>
    <w:rsid w:val="00FF3C84"/>
    <w:rsid w:val="00FF452D"/>
    <w:rsid w:val="00FF74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9D64A"/>
  <w15:chartTrackingRefBased/>
  <w15:docId w15:val="{559C7274-F60B-4461-B0BE-63CCC567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76D67"/>
    <w:pPr>
      <w:keepNext/>
      <w:keepLines/>
      <w:spacing w:before="160" w:after="80" w:line="278" w:lineRule="auto"/>
      <w:outlineLvl w:val="1"/>
    </w:pPr>
    <w:rPr>
      <w:rFonts w:ascii="Aptos Display" w:hAnsi="Aptos Display"/>
      <w:color w:val="0F4761"/>
      <w:kern w:val="2"/>
      <w:sz w:val="32"/>
      <w:szCs w:val="32"/>
    </w:rPr>
  </w:style>
  <w:style w:type="paragraph" w:styleId="Heading3">
    <w:name w:val="heading 3"/>
    <w:basedOn w:val="Normal"/>
    <w:next w:val="Normal"/>
    <w:link w:val="Heading3Char"/>
    <w:uiPriority w:val="9"/>
    <w:semiHidden/>
    <w:unhideWhenUsed/>
    <w:qFormat/>
    <w:rsid w:val="00876D67"/>
    <w:pPr>
      <w:keepNext/>
      <w:keepLines/>
      <w:spacing w:before="160" w:after="80" w:line="278" w:lineRule="auto"/>
      <w:outlineLvl w:val="2"/>
    </w:pPr>
    <w:rPr>
      <w:rFonts w:ascii="Aptos" w:hAnsi="Aptos"/>
      <w:color w:val="0F4761"/>
      <w:kern w:val="2"/>
      <w:sz w:val="28"/>
      <w:szCs w:val="28"/>
    </w:rPr>
  </w:style>
  <w:style w:type="paragraph" w:styleId="Heading4">
    <w:name w:val="heading 4"/>
    <w:basedOn w:val="Normal"/>
    <w:next w:val="Normal"/>
    <w:link w:val="Heading4Char"/>
    <w:uiPriority w:val="9"/>
    <w:semiHidden/>
    <w:unhideWhenUsed/>
    <w:qFormat/>
    <w:rsid w:val="00876D67"/>
    <w:pPr>
      <w:keepNext/>
      <w:keepLines/>
      <w:spacing w:before="80" w:after="40" w:line="278" w:lineRule="auto"/>
      <w:outlineLvl w:val="3"/>
    </w:pPr>
    <w:rPr>
      <w:rFonts w:ascii="Aptos" w:hAnsi="Aptos"/>
      <w:i/>
      <w:iCs/>
      <w:color w:val="0F4761"/>
      <w:kern w:val="2"/>
    </w:rPr>
  </w:style>
  <w:style w:type="paragraph" w:styleId="Heading5">
    <w:name w:val="heading 5"/>
    <w:basedOn w:val="Normal"/>
    <w:next w:val="Normal"/>
    <w:link w:val="Heading5Char"/>
    <w:uiPriority w:val="9"/>
    <w:semiHidden/>
    <w:unhideWhenUsed/>
    <w:qFormat/>
    <w:rsid w:val="00876D67"/>
    <w:pPr>
      <w:keepNext/>
      <w:keepLines/>
      <w:spacing w:before="80" w:after="40" w:line="278" w:lineRule="auto"/>
      <w:outlineLvl w:val="4"/>
    </w:pPr>
    <w:rPr>
      <w:rFonts w:ascii="Aptos" w:hAnsi="Aptos"/>
      <w:color w:val="0F4761"/>
      <w:kern w:val="2"/>
    </w:rPr>
  </w:style>
  <w:style w:type="paragraph" w:styleId="Heading6">
    <w:name w:val="heading 6"/>
    <w:basedOn w:val="Normal"/>
    <w:next w:val="Normal"/>
    <w:link w:val="Heading6Char"/>
    <w:uiPriority w:val="9"/>
    <w:semiHidden/>
    <w:unhideWhenUsed/>
    <w:qFormat/>
    <w:rsid w:val="00876D67"/>
    <w:pPr>
      <w:keepNext/>
      <w:keepLines/>
      <w:spacing w:before="40" w:line="278" w:lineRule="auto"/>
      <w:outlineLvl w:val="5"/>
    </w:pPr>
    <w:rPr>
      <w:rFonts w:ascii="Aptos" w:hAnsi="Aptos"/>
      <w:i/>
      <w:iCs/>
      <w:color w:val="595959"/>
      <w:kern w:val="2"/>
    </w:rPr>
  </w:style>
  <w:style w:type="paragraph" w:styleId="Heading7">
    <w:name w:val="heading 7"/>
    <w:basedOn w:val="Normal"/>
    <w:next w:val="Normal"/>
    <w:link w:val="Heading7Char"/>
    <w:uiPriority w:val="9"/>
    <w:semiHidden/>
    <w:unhideWhenUsed/>
    <w:qFormat/>
    <w:rsid w:val="00876D67"/>
    <w:pPr>
      <w:keepNext/>
      <w:keepLines/>
      <w:spacing w:before="40" w:line="278" w:lineRule="auto"/>
      <w:outlineLvl w:val="6"/>
    </w:pPr>
    <w:rPr>
      <w:rFonts w:ascii="Aptos" w:hAnsi="Aptos"/>
      <w:color w:val="595959"/>
      <w:kern w:val="2"/>
    </w:rPr>
  </w:style>
  <w:style w:type="paragraph" w:styleId="Heading8">
    <w:name w:val="heading 8"/>
    <w:basedOn w:val="Normal"/>
    <w:next w:val="Normal"/>
    <w:link w:val="Heading8Char"/>
    <w:uiPriority w:val="9"/>
    <w:semiHidden/>
    <w:unhideWhenUsed/>
    <w:qFormat/>
    <w:rsid w:val="00876D67"/>
    <w:pPr>
      <w:keepNext/>
      <w:keepLines/>
      <w:spacing w:line="278" w:lineRule="auto"/>
      <w:outlineLvl w:val="7"/>
    </w:pPr>
    <w:rPr>
      <w:rFonts w:ascii="Aptos" w:hAnsi="Aptos"/>
      <w:i/>
      <w:iCs/>
      <w:color w:val="272727"/>
      <w:kern w:val="2"/>
    </w:rPr>
  </w:style>
  <w:style w:type="paragraph" w:styleId="Heading9">
    <w:name w:val="heading 9"/>
    <w:basedOn w:val="Normal"/>
    <w:next w:val="Normal"/>
    <w:link w:val="Heading9Char"/>
    <w:uiPriority w:val="9"/>
    <w:semiHidden/>
    <w:unhideWhenUsed/>
    <w:qFormat/>
    <w:rsid w:val="00876D67"/>
    <w:pPr>
      <w:keepNext/>
      <w:keepLines/>
      <w:spacing w:line="278" w:lineRule="auto"/>
      <w:outlineLvl w:val="8"/>
    </w:pPr>
    <w:rPr>
      <w:rFonts w:ascii="Aptos" w:hAnsi="Aptos"/>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Heading2Char">
    <w:name w:val="Heading 2 Char"/>
    <w:basedOn w:val="DefaultParagraphFont"/>
    <w:link w:val="Heading2"/>
    <w:uiPriority w:val="9"/>
    <w:semiHidden/>
    <w:rsid w:val="00876D67"/>
    <w:rPr>
      <w:rFonts w:ascii="Aptos Display" w:hAnsi="Aptos Display"/>
      <w:color w:val="0F4761"/>
      <w:kern w:val="2"/>
      <w:sz w:val="32"/>
      <w:szCs w:val="32"/>
      <w:lang w:eastAsia="en-US"/>
    </w:rPr>
  </w:style>
  <w:style w:type="character" w:customStyle="1" w:styleId="Heading3Char">
    <w:name w:val="Heading 3 Char"/>
    <w:basedOn w:val="DefaultParagraphFont"/>
    <w:link w:val="Heading3"/>
    <w:uiPriority w:val="9"/>
    <w:semiHidden/>
    <w:rsid w:val="00876D67"/>
    <w:rPr>
      <w:rFonts w:ascii="Aptos" w:hAnsi="Aptos"/>
      <w:color w:val="0F4761"/>
      <w:kern w:val="2"/>
      <w:sz w:val="28"/>
      <w:szCs w:val="28"/>
      <w:lang w:eastAsia="en-US"/>
    </w:rPr>
  </w:style>
  <w:style w:type="character" w:customStyle="1" w:styleId="Heading4Char">
    <w:name w:val="Heading 4 Char"/>
    <w:basedOn w:val="DefaultParagraphFont"/>
    <w:link w:val="Heading4"/>
    <w:uiPriority w:val="9"/>
    <w:semiHidden/>
    <w:rsid w:val="00876D67"/>
    <w:rPr>
      <w:rFonts w:ascii="Aptos" w:hAnsi="Aptos"/>
      <w:i/>
      <w:iCs/>
      <w:color w:val="0F4761"/>
      <w:kern w:val="2"/>
      <w:sz w:val="24"/>
      <w:szCs w:val="24"/>
      <w:lang w:eastAsia="en-US"/>
    </w:rPr>
  </w:style>
  <w:style w:type="character" w:customStyle="1" w:styleId="Heading5Char">
    <w:name w:val="Heading 5 Char"/>
    <w:basedOn w:val="DefaultParagraphFont"/>
    <w:link w:val="Heading5"/>
    <w:uiPriority w:val="9"/>
    <w:semiHidden/>
    <w:rsid w:val="00876D67"/>
    <w:rPr>
      <w:rFonts w:ascii="Aptos" w:hAnsi="Aptos"/>
      <w:color w:val="0F4761"/>
      <w:kern w:val="2"/>
      <w:sz w:val="24"/>
      <w:szCs w:val="24"/>
      <w:lang w:eastAsia="en-US"/>
    </w:rPr>
  </w:style>
  <w:style w:type="character" w:customStyle="1" w:styleId="Heading6Char">
    <w:name w:val="Heading 6 Char"/>
    <w:basedOn w:val="DefaultParagraphFont"/>
    <w:link w:val="Heading6"/>
    <w:uiPriority w:val="9"/>
    <w:semiHidden/>
    <w:rsid w:val="00876D67"/>
    <w:rPr>
      <w:rFonts w:ascii="Aptos" w:hAnsi="Aptos"/>
      <w:i/>
      <w:iCs/>
      <w:color w:val="595959"/>
      <w:kern w:val="2"/>
      <w:sz w:val="24"/>
      <w:szCs w:val="24"/>
      <w:lang w:eastAsia="en-US"/>
    </w:rPr>
  </w:style>
  <w:style w:type="character" w:customStyle="1" w:styleId="Heading7Char">
    <w:name w:val="Heading 7 Char"/>
    <w:basedOn w:val="DefaultParagraphFont"/>
    <w:link w:val="Heading7"/>
    <w:uiPriority w:val="9"/>
    <w:semiHidden/>
    <w:rsid w:val="00876D67"/>
    <w:rPr>
      <w:rFonts w:ascii="Aptos" w:hAnsi="Aptos"/>
      <w:color w:val="595959"/>
      <w:kern w:val="2"/>
      <w:sz w:val="24"/>
      <w:szCs w:val="24"/>
      <w:lang w:eastAsia="en-US"/>
    </w:rPr>
  </w:style>
  <w:style w:type="character" w:customStyle="1" w:styleId="Heading8Char">
    <w:name w:val="Heading 8 Char"/>
    <w:basedOn w:val="DefaultParagraphFont"/>
    <w:link w:val="Heading8"/>
    <w:uiPriority w:val="9"/>
    <w:semiHidden/>
    <w:rsid w:val="00876D67"/>
    <w:rPr>
      <w:rFonts w:ascii="Aptos" w:hAnsi="Aptos"/>
      <w:i/>
      <w:iCs/>
      <w:color w:val="272727"/>
      <w:kern w:val="2"/>
      <w:sz w:val="24"/>
      <w:szCs w:val="24"/>
      <w:lang w:eastAsia="en-US"/>
    </w:rPr>
  </w:style>
  <w:style w:type="character" w:customStyle="1" w:styleId="Heading9Char">
    <w:name w:val="Heading 9 Char"/>
    <w:basedOn w:val="DefaultParagraphFont"/>
    <w:link w:val="Heading9"/>
    <w:uiPriority w:val="9"/>
    <w:semiHidden/>
    <w:rsid w:val="00876D67"/>
    <w:rPr>
      <w:rFonts w:ascii="Aptos" w:hAnsi="Aptos"/>
      <w:color w:val="272727"/>
      <w:kern w:val="2"/>
      <w:sz w:val="24"/>
      <w:szCs w:val="24"/>
      <w:lang w:eastAsia="en-US"/>
    </w:rPr>
  </w:style>
  <w:style w:type="character" w:customStyle="1" w:styleId="Heading1Char">
    <w:name w:val="Heading 1 Char"/>
    <w:link w:val="Heading1"/>
    <w:uiPriority w:val="9"/>
    <w:rsid w:val="00876D67"/>
    <w:rPr>
      <w:rFonts w:ascii="Arial" w:hAnsi="Arial" w:cs="Arial"/>
      <w:b/>
      <w:bCs/>
      <w:kern w:val="32"/>
      <w:sz w:val="32"/>
      <w:szCs w:val="32"/>
      <w:lang w:eastAsia="en-US"/>
    </w:rPr>
  </w:style>
  <w:style w:type="character" w:customStyle="1" w:styleId="TitleChar">
    <w:name w:val="Title Char"/>
    <w:link w:val="Title"/>
    <w:uiPriority w:val="10"/>
    <w:rsid w:val="00876D67"/>
    <w:rPr>
      <w:b/>
      <w:szCs w:val="24"/>
      <w:lang w:eastAsia="en-US"/>
    </w:rPr>
  </w:style>
  <w:style w:type="paragraph" w:styleId="Subtitle">
    <w:name w:val="Subtitle"/>
    <w:basedOn w:val="Normal"/>
    <w:next w:val="Normal"/>
    <w:link w:val="SubtitleChar"/>
    <w:uiPriority w:val="11"/>
    <w:qFormat/>
    <w:rsid w:val="00876D67"/>
    <w:pPr>
      <w:numPr>
        <w:ilvl w:val="1"/>
      </w:numPr>
      <w:spacing w:after="160" w:line="278" w:lineRule="auto"/>
    </w:pPr>
    <w:rPr>
      <w:rFonts w:ascii="Aptos" w:hAnsi="Aptos"/>
      <w:color w:val="595959"/>
      <w:spacing w:val="15"/>
      <w:kern w:val="2"/>
      <w:sz w:val="28"/>
      <w:szCs w:val="28"/>
    </w:rPr>
  </w:style>
  <w:style w:type="character" w:customStyle="1" w:styleId="SubtitleChar">
    <w:name w:val="Subtitle Char"/>
    <w:basedOn w:val="DefaultParagraphFont"/>
    <w:link w:val="Subtitle"/>
    <w:uiPriority w:val="11"/>
    <w:rsid w:val="00876D67"/>
    <w:rPr>
      <w:rFonts w:ascii="Aptos" w:hAnsi="Aptos"/>
      <w:color w:val="595959"/>
      <w:spacing w:val="15"/>
      <w:kern w:val="2"/>
      <w:sz w:val="28"/>
      <w:szCs w:val="28"/>
      <w:lang w:eastAsia="en-US"/>
    </w:rPr>
  </w:style>
  <w:style w:type="character" w:customStyle="1" w:styleId="QuoteChar">
    <w:name w:val="Quote Char"/>
    <w:link w:val="Quote"/>
    <w:uiPriority w:val="29"/>
    <w:rsid w:val="00876D67"/>
    <w:rPr>
      <w:sz w:val="24"/>
      <w:lang w:eastAsia="en-US"/>
    </w:rPr>
  </w:style>
  <w:style w:type="paragraph" w:styleId="ListParagraph">
    <w:name w:val="List Paragraph"/>
    <w:basedOn w:val="Normal"/>
    <w:uiPriority w:val="34"/>
    <w:qFormat/>
    <w:rsid w:val="00876D67"/>
    <w:pPr>
      <w:spacing w:after="160" w:line="278" w:lineRule="auto"/>
      <w:ind w:left="720"/>
      <w:contextualSpacing/>
    </w:pPr>
    <w:rPr>
      <w:rFonts w:ascii="Aptos" w:eastAsia="Aptos" w:hAnsi="Aptos" w:cs="Arial"/>
      <w:kern w:val="2"/>
    </w:rPr>
  </w:style>
  <w:style w:type="character" w:styleId="IntenseEmphasis">
    <w:name w:val="Intense Emphasis"/>
    <w:uiPriority w:val="21"/>
    <w:qFormat/>
    <w:rsid w:val="00876D67"/>
    <w:rPr>
      <w:i/>
      <w:iCs/>
      <w:color w:val="0F4761"/>
    </w:rPr>
  </w:style>
  <w:style w:type="paragraph" w:styleId="IntenseQuote">
    <w:name w:val="Intense Quote"/>
    <w:basedOn w:val="Normal"/>
    <w:next w:val="Normal"/>
    <w:link w:val="IntenseQuoteChar"/>
    <w:uiPriority w:val="30"/>
    <w:qFormat/>
    <w:rsid w:val="00876D67"/>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rPr>
  </w:style>
  <w:style w:type="character" w:customStyle="1" w:styleId="IntenseQuoteChar">
    <w:name w:val="Intense Quote Char"/>
    <w:basedOn w:val="DefaultParagraphFont"/>
    <w:link w:val="IntenseQuote"/>
    <w:uiPriority w:val="30"/>
    <w:rsid w:val="00876D67"/>
    <w:rPr>
      <w:rFonts w:ascii="Aptos" w:eastAsia="Aptos" w:hAnsi="Aptos" w:cs="Arial"/>
      <w:i/>
      <w:iCs/>
      <w:color w:val="0F4761"/>
      <w:kern w:val="2"/>
      <w:sz w:val="24"/>
      <w:szCs w:val="24"/>
      <w:lang w:eastAsia="en-US"/>
    </w:rPr>
  </w:style>
  <w:style w:type="character" w:styleId="IntenseReference">
    <w:name w:val="Intense Reference"/>
    <w:uiPriority w:val="32"/>
    <w:qFormat/>
    <w:rsid w:val="00876D67"/>
    <w:rPr>
      <w:b/>
      <w:bCs/>
      <w:smallCaps/>
      <w:color w:val="0F4761"/>
      <w:spacing w:val="5"/>
    </w:rPr>
  </w:style>
  <w:style w:type="paragraph" w:styleId="Revision">
    <w:name w:val="Revision"/>
    <w:hidden/>
    <w:uiPriority w:val="99"/>
    <w:semiHidden/>
    <w:rsid w:val="00876D67"/>
    <w:rPr>
      <w:sz w:val="24"/>
      <w:szCs w:val="24"/>
      <w:lang w:eastAsia="en-US"/>
    </w:rPr>
  </w:style>
  <w:style w:type="character" w:styleId="CommentReference">
    <w:name w:val="annotation reference"/>
    <w:basedOn w:val="DefaultParagraphFont"/>
    <w:rsid w:val="003A2364"/>
    <w:rPr>
      <w:sz w:val="16"/>
      <w:szCs w:val="16"/>
    </w:rPr>
  </w:style>
  <w:style w:type="paragraph" w:styleId="CommentText">
    <w:name w:val="annotation text"/>
    <w:basedOn w:val="Normal"/>
    <w:link w:val="CommentTextChar"/>
    <w:rsid w:val="003A2364"/>
    <w:rPr>
      <w:sz w:val="20"/>
      <w:szCs w:val="20"/>
    </w:rPr>
  </w:style>
  <w:style w:type="character" w:customStyle="1" w:styleId="CommentTextChar">
    <w:name w:val="Comment Text Char"/>
    <w:basedOn w:val="DefaultParagraphFont"/>
    <w:link w:val="CommentText"/>
    <w:rsid w:val="003A2364"/>
    <w:rPr>
      <w:lang w:eastAsia="en-US"/>
    </w:rPr>
  </w:style>
  <w:style w:type="paragraph" w:styleId="CommentSubject">
    <w:name w:val="annotation subject"/>
    <w:basedOn w:val="CommentText"/>
    <w:next w:val="CommentText"/>
    <w:link w:val="CommentSubjectChar"/>
    <w:rsid w:val="003A2364"/>
    <w:rPr>
      <w:b/>
      <w:bCs/>
    </w:rPr>
  </w:style>
  <w:style w:type="character" w:customStyle="1" w:styleId="CommentSubjectChar">
    <w:name w:val="Comment Subject Char"/>
    <w:basedOn w:val="CommentTextChar"/>
    <w:link w:val="CommentSubject"/>
    <w:rsid w:val="003A2364"/>
    <w:rPr>
      <w:b/>
      <w:bCs/>
      <w:lang w:eastAsia="en-US"/>
    </w:rPr>
  </w:style>
  <w:style w:type="character" w:styleId="Hyperlink">
    <w:name w:val="Hyperlink"/>
    <w:basedOn w:val="DefaultParagraphFont"/>
    <w:rsid w:val="000C3C7C"/>
    <w:rPr>
      <w:color w:val="0563C1" w:themeColor="hyperlink"/>
      <w:u w:val="single"/>
    </w:rPr>
  </w:style>
  <w:style w:type="character" w:styleId="UnresolvedMention">
    <w:name w:val="Unresolved Mention"/>
    <w:basedOn w:val="DefaultParagraphFont"/>
    <w:uiPriority w:val="99"/>
    <w:semiHidden/>
    <w:unhideWhenUsed/>
    <w:rsid w:val="000C3C7C"/>
    <w:rPr>
      <w:color w:val="605E5C"/>
      <w:shd w:val="clear" w:color="auto" w:fill="E1DFDD"/>
    </w:rPr>
  </w:style>
  <w:style w:type="character" w:customStyle="1" w:styleId="FooterChar">
    <w:name w:val="Footer Char"/>
    <w:basedOn w:val="DefaultParagraphFont"/>
    <w:link w:val="Footer"/>
    <w:uiPriority w:val="99"/>
    <w:rsid w:val="00B17D14"/>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31823">
      <w:bodyDiv w:val="1"/>
      <w:marLeft w:val="0"/>
      <w:marRight w:val="0"/>
      <w:marTop w:val="0"/>
      <w:marBottom w:val="0"/>
      <w:divBdr>
        <w:top w:val="none" w:sz="0" w:space="0" w:color="auto"/>
        <w:left w:val="none" w:sz="0" w:space="0" w:color="auto"/>
        <w:bottom w:val="none" w:sz="0" w:space="0" w:color="auto"/>
        <w:right w:val="none" w:sz="0" w:space="0" w:color="auto"/>
      </w:divBdr>
    </w:div>
    <w:div w:id="17394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bua\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4FE963FD8A4D8C30D01003A4E343" ma:contentTypeVersion="18" ma:contentTypeDescription="Create a new document." ma:contentTypeScope="" ma:versionID="b23b31b1793bbfd2f1196339967df781">
  <xsd:schema xmlns:xsd="http://www.w3.org/2001/XMLSchema" xmlns:xs="http://www.w3.org/2001/XMLSchema" xmlns:p="http://schemas.microsoft.com/office/2006/metadata/properties" xmlns:ns2="8a4173e5-a8fd-4450-9b18-fa80ffd0b82d" xmlns:ns3="82ce42af-57c3-402b-8533-a9806dbbb887" targetNamespace="http://schemas.microsoft.com/office/2006/metadata/properties" ma:root="true" ma:fieldsID="2f2d7043b0f9c4cdabfb2403f13baec3" ns2:_="" ns3:_="">
    <xsd:import namespace="8a4173e5-a8fd-4450-9b18-fa80ffd0b82d"/>
    <xsd:import namespace="82ce42af-57c3-402b-8533-a9806dbbb8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173e5-a8fd-4450-9b18-fa80ffd0b8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4937d2-ac6c-44eb-acc4-53bef89a2466}" ma:internalName="TaxCatchAll" ma:showField="CatchAllData" ma:web="8a4173e5-a8fd-4450-9b18-fa80ffd0b8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ce42af-57c3-402b-8533-a9806dbbb8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7a769d-8a40-4eb1-a233-7d7c35e9b0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a4173e5-a8fd-4450-9b18-fa80ffd0b82d" xsi:nil="true"/>
    <lcf76f155ced4ddcb4097134ff3c332f xmlns="82ce42af-57c3-402b-8533-a9806dbbb8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FAB16-BAC2-4212-8B28-9C479AD3C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173e5-a8fd-4450-9b18-fa80ffd0b82d"/>
    <ds:schemaRef ds:uri="82ce42af-57c3-402b-8533-a9806dbbb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E0A36-6D94-4BD6-8884-4D4116F7BBC9}">
  <ds:schemaRefs>
    <ds:schemaRef ds:uri="http://schemas.microsoft.com/sharepoint/v3/contenttype/forms"/>
  </ds:schemaRefs>
</ds:datastoreItem>
</file>

<file path=customXml/itemProps3.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customXml/itemProps4.xml><?xml version="1.0" encoding="utf-8"?>
<ds:datastoreItem xmlns:ds="http://schemas.openxmlformats.org/officeDocument/2006/customXml" ds:itemID="{D148DFF6-449D-433D-9AD2-4998E4E45779}">
  <ds:schemaRefs>
    <ds:schemaRef ds:uri="http://schemas.microsoft.com/office/2006/metadata/properties"/>
    <ds:schemaRef ds:uri="http://schemas.microsoft.com/office/infopath/2007/PartnerControls"/>
    <ds:schemaRef ds:uri="8a4173e5-a8fd-4450-9b18-fa80ffd0b82d"/>
    <ds:schemaRef ds:uri="82ce42af-57c3-402b-8533-a9806dbbb887"/>
  </ds:schemaRefs>
</ds:datastoreItem>
</file>

<file path=docProps/app.xml><?xml version="1.0" encoding="utf-8"?>
<Properties xmlns="http://schemas.openxmlformats.org/officeDocument/2006/extended-properties" xmlns:vt="http://schemas.openxmlformats.org/officeDocument/2006/docPropsVTypes">
  <Template>ca_judg2k</Template>
  <TotalTime>1</TotalTime>
  <Pages>23</Pages>
  <Words>10897</Words>
  <Characters>52861</Characters>
  <Application>Microsoft Office Word</Application>
  <DocSecurity>0</DocSecurity>
  <Lines>912</Lines>
  <Paragraphs>205</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Mbua, Rose</dc:creator>
  <cp:keywords/>
  <dc:description/>
  <cp:lastModifiedBy>Mark Ellis</cp:lastModifiedBy>
  <cp:revision>3</cp:revision>
  <dcterms:created xsi:type="dcterms:W3CDTF">2025-11-14T15:11:00Z</dcterms:created>
  <dcterms:modified xsi:type="dcterms:W3CDTF">2025-11-14T16:26:00Z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Number">
    <vt:lpwstr>[2025] EWCA Civ 1466</vt:lpwstr>
  </property>
  <property fmtid="{D5CDD505-2E9C-101B-9397-08002B2CF9AE}" pid="9" name="ContentTypeId">
    <vt:lpwstr>0x010100EC7A4FE963FD8A4D8C30D01003A4E343</vt:lpwstr>
  </property>
</Properties>
</file>